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 w:lineRule="exact"/>
        <w:rPr>
          <w:rFonts w:hint="default" w:ascii="Times New Roman" w:hAnsi="Times New Roman" w:cs="Times New Roman"/>
        </w:rPr>
        <w:sectPr>
          <w:footnotePr>
            <w:numFmt w:val="decimal"/>
          </w:footnotePr>
          <w:pgSz w:w="11900" w:h="16840"/>
          <w:pgMar w:top="850" w:right="1134" w:bottom="850" w:left="1134" w:header="0" w:footer="3" w:gutter="0"/>
          <w:pgNumType w:start="1"/>
          <w:cols w:space="720" w:num="1"/>
          <w:rtlGutter w:val="0"/>
          <w:docGrid w:linePitch="360" w:charSpace="0"/>
        </w:sectPr>
      </w:pPr>
      <w:bookmarkStart w:id="0" w:name="_GoBack"/>
      <w:bookmarkEnd w:id="0"/>
    </w:p>
    <w:p>
      <w:pPr>
        <w:snapToGrid w:val="0"/>
        <w:spacing w:line="360" w:lineRule="auto"/>
        <w:jc w:val="center"/>
        <w:rPr>
          <w:rFonts w:hint="default" w:ascii="Times New Roman" w:hAnsi="Times New Roman" w:eastAsia="方正小标宋简体" w:cs="Times New Roman"/>
          <w:color w:val="000000"/>
          <w:sz w:val="32"/>
          <w:szCs w:val="32"/>
        </w:rPr>
      </w:pPr>
      <w:r>
        <w:rPr>
          <w:rFonts w:hint="default" w:ascii="Times New Roman" w:hAnsi="Times New Roman" w:eastAsia="方正小标宋简体" w:cs="Times New Roman"/>
          <w:sz w:val="32"/>
          <w:szCs w:val="32"/>
        </w:rPr>
        <w:t>广州市</w:t>
      </w:r>
      <w:r>
        <w:rPr>
          <w:rFonts w:hint="eastAsia" w:ascii="Times New Roman" w:hAnsi="Times New Roman" w:eastAsia="方正小标宋简体" w:cs="Times New Roman"/>
          <w:sz w:val="32"/>
          <w:szCs w:val="32"/>
          <w:lang w:eastAsia="zh-CN"/>
        </w:rPr>
        <w:t>市场监督管理局</w:t>
      </w:r>
      <w:r>
        <w:rPr>
          <w:rFonts w:hint="default" w:ascii="Times New Roman" w:hAnsi="Times New Roman" w:eastAsia="方正小标宋简体" w:cs="Times New Roman"/>
          <w:color w:val="000000"/>
          <w:sz w:val="32"/>
          <w:szCs w:val="32"/>
        </w:rPr>
        <w:t>快热式电热水器产品质量监督抽查实施细则</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snapToGrid w:val="0"/>
        <w:spacing w:line="440" w:lineRule="exact"/>
        <w:ind w:firstLine="420" w:firstLineChars="200"/>
        <w:rPr>
          <w:rFonts w:ascii="宋体" w:hAnsi="宋体"/>
          <w:color w:val="000000"/>
          <w:sz w:val="21"/>
          <w:szCs w:val="21"/>
        </w:rPr>
      </w:pPr>
      <w:r>
        <w:rPr>
          <w:rFonts w:hint="eastAsia" w:ascii="宋体" w:hAnsi="宋体"/>
          <w:color w:val="000000"/>
          <w:sz w:val="21"/>
          <w:szCs w:val="21"/>
        </w:rPr>
        <w:t>在企业的待销产品中随机抽取有产品质量检验合格证明或者以其他形式表明合格的、近期生产的产品。</w:t>
      </w:r>
    </w:p>
    <w:p>
      <w:pPr>
        <w:snapToGrid w:val="0"/>
        <w:spacing w:line="440" w:lineRule="exact"/>
        <w:ind w:firstLine="420" w:firstLineChars="200"/>
        <w:rPr>
          <w:rFonts w:ascii="宋体" w:hAnsi="宋体"/>
          <w:color w:val="000000"/>
          <w:sz w:val="21"/>
          <w:szCs w:val="21"/>
        </w:rPr>
      </w:pPr>
      <w:r>
        <w:rPr>
          <w:rFonts w:hint="eastAsia" w:ascii="宋体" w:hAnsi="宋体"/>
          <w:color w:val="000000"/>
          <w:sz w:val="21"/>
          <w:szCs w:val="21"/>
        </w:rPr>
        <w:t>抽查样品基数满足抽样数量即可。</w:t>
      </w:r>
    </w:p>
    <w:p>
      <w:pPr>
        <w:snapToGrid w:val="0"/>
        <w:spacing w:line="440" w:lineRule="exact"/>
        <w:ind w:firstLine="420" w:firstLineChars="200"/>
        <w:rPr>
          <w:rFonts w:hint="eastAsia" w:ascii="宋体" w:hAnsi="宋体"/>
          <w:color w:val="000000"/>
          <w:sz w:val="21"/>
          <w:szCs w:val="21"/>
        </w:rPr>
      </w:pPr>
      <w:r>
        <w:rPr>
          <w:rFonts w:hint="eastAsia" w:ascii="宋体" w:hAnsi="宋体"/>
          <w:color w:val="000000"/>
          <w:sz w:val="21"/>
          <w:szCs w:val="21"/>
        </w:rPr>
        <w:t>每批次产品抽取样品</w:t>
      </w:r>
      <w:r>
        <w:rPr>
          <w:rFonts w:hint="eastAsia" w:ascii="宋体" w:hAnsi="宋体"/>
          <w:color w:val="000000"/>
          <w:sz w:val="21"/>
          <w:szCs w:val="21"/>
          <w:lang w:val="en-US" w:eastAsia="zh-CN"/>
        </w:rPr>
        <w:t>3台</w:t>
      </w:r>
      <w:r>
        <w:rPr>
          <w:rFonts w:hint="eastAsia" w:ascii="宋体" w:hAnsi="宋体"/>
          <w:color w:val="000000"/>
          <w:sz w:val="21"/>
          <w:szCs w:val="21"/>
        </w:rPr>
        <w:t>，其中</w:t>
      </w:r>
      <w:r>
        <w:rPr>
          <w:rFonts w:hint="eastAsia" w:ascii="宋体" w:hAnsi="宋体"/>
          <w:color w:val="000000"/>
          <w:sz w:val="21"/>
          <w:szCs w:val="21"/>
          <w:lang w:val="en-US" w:eastAsia="zh-CN"/>
        </w:rPr>
        <w:t>2</w:t>
      </w:r>
      <w:r>
        <w:rPr>
          <w:rFonts w:hint="eastAsia" w:ascii="宋体" w:hAnsi="宋体"/>
          <w:color w:val="000000"/>
          <w:sz w:val="21"/>
          <w:szCs w:val="21"/>
          <w:lang w:eastAsia="zh-CN"/>
        </w:rPr>
        <w:t>台</w:t>
      </w:r>
      <w:r>
        <w:rPr>
          <w:rFonts w:hint="eastAsia" w:ascii="宋体" w:hAnsi="宋体"/>
          <w:color w:val="000000"/>
          <w:sz w:val="21"/>
          <w:szCs w:val="21"/>
        </w:rPr>
        <w:t>作为检验样品，</w:t>
      </w:r>
      <w:r>
        <w:rPr>
          <w:rFonts w:hint="eastAsia" w:ascii="宋体" w:hAnsi="宋体"/>
          <w:color w:val="000000"/>
          <w:sz w:val="21"/>
          <w:szCs w:val="21"/>
          <w:lang w:val="en-US" w:eastAsia="zh-CN"/>
        </w:rPr>
        <w:t>1</w:t>
      </w:r>
      <w:r>
        <w:rPr>
          <w:rFonts w:hint="eastAsia" w:ascii="宋体" w:hAnsi="宋体"/>
          <w:color w:val="000000"/>
          <w:sz w:val="21"/>
          <w:szCs w:val="21"/>
          <w:lang w:eastAsia="zh-CN"/>
        </w:rPr>
        <w:t>台</w:t>
      </w:r>
      <w:r>
        <w:rPr>
          <w:rFonts w:hint="eastAsia" w:ascii="宋体" w:hAnsi="宋体"/>
          <w:color w:val="000000"/>
          <w:sz w:val="21"/>
          <w:szCs w:val="21"/>
        </w:rPr>
        <w:t>作为备用样品。</w:t>
      </w:r>
    </w:p>
    <w:p>
      <w:pPr>
        <w:snapToGrid w:val="0"/>
        <w:spacing w:line="440" w:lineRule="exact"/>
        <w:ind w:firstLine="420" w:firstLineChars="200"/>
        <w:rPr>
          <w:rFonts w:hint="eastAsia" w:ascii="宋体" w:hAnsi="宋体"/>
          <w:color w:val="000000"/>
          <w:sz w:val="21"/>
          <w:szCs w:val="21"/>
        </w:rPr>
      </w:pPr>
      <w:r>
        <w:rPr>
          <w:rFonts w:hint="eastAsia" w:ascii="宋体" w:hAnsi="宋体"/>
          <w:color w:val="000000"/>
          <w:sz w:val="21"/>
          <w:szCs w:val="21"/>
        </w:rPr>
        <w:t>随机数一般可使用随机数表、随机数骰子或扑克牌等方法产生。</w:t>
      </w:r>
    </w:p>
    <w:p>
      <w:pPr>
        <w:snapToGrid w:val="0"/>
        <w:spacing w:line="440" w:lineRule="exact"/>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snapToGrid w:val="0"/>
        <w:spacing w:line="440" w:lineRule="exact"/>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本次抽查检验项目和检验方法依据见表1。</w:t>
      </w:r>
    </w:p>
    <w:p>
      <w:pPr>
        <w:snapToGrid w:val="0"/>
        <w:spacing w:line="440" w:lineRule="exac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表1检验项目</w:t>
      </w:r>
    </w:p>
    <w:tbl>
      <w:tblPr>
        <w:tblStyle w:val="6"/>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64"/>
        <w:gridCol w:w="4175"/>
        <w:gridCol w:w="188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81" w:hRule="exact"/>
          <w:jc w:val="center"/>
        </w:trPr>
        <w:tc>
          <w:tcPr>
            <w:tcW w:w="664"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序号</w:t>
            </w:r>
          </w:p>
        </w:tc>
        <w:tc>
          <w:tcPr>
            <w:tcW w:w="4175"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检验项目</w:t>
            </w:r>
          </w:p>
        </w:tc>
        <w:tc>
          <w:tcPr>
            <w:tcW w:w="1888"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1977"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检</w:t>
            </w:r>
            <w:r>
              <w:rPr>
                <w:rFonts w:hint="eastAsia" w:eastAsia="宋体" w:cs="Times New Roman"/>
                <w:color w:val="000000"/>
                <w:spacing w:val="0"/>
                <w:w w:val="100"/>
                <w:kern w:val="2"/>
                <w:position w:val="0"/>
                <w:sz w:val="21"/>
                <w:szCs w:val="21"/>
                <w:shd w:val="clear"/>
                <w:lang w:eastAsia="zh-CN" w:bidi="ar-SA"/>
              </w:rPr>
              <w:t>验</w:t>
            </w:r>
            <w:r>
              <w:rPr>
                <w:rFonts w:hint="default" w:ascii="Times New Roman" w:hAnsi="Times New Roman" w:eastAsia="宋体" w:cs="Times New Roman"/>
                <w:color w:val="000000"/>
                <w:spacing w:val="0"/>
                <w:w w:val="100"/>
                <w:kern w:val="2"/>
                <w:position w:val="0"/>
                <w:sz w:val="21"/>
                <w:szCs w:val="21"/>
                <w:shd w:val="clear"/>
                <w:lang w:eastAsia="zh-CN" w:bidi="ar-SA"/>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12" w:hRule="exact"/>
          <w:jc w:val="center"/>
        </w:trPr>
        <w:tc>
          <w:tcPr>
            <w:tcW w:w="664" w:type="dxa"/>
            <w:vMerge w:val="continue"/>
            <w:shd w:val="clear" w:color="auto" w:fill="FFFFFF"/>
            <w:vAlign w:val="top"/>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4175"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6"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对触及带电部件的防护</w:t>
            </w:r>
          </w:p>
        </w:tc>
        <w:tc>
          <w:tcPr>
            <w:tcW w:w="1888"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val="en-US" w:eastAsia="en-US" w:bidi="ar-SA"/>
              </w:rPr>
              <w:t>GB 4706.1</w:t>
            </w:r>
            <w:r>
              <w:rPr>
                <w:rFonts w:hint="default" w:ascii="Times New Roman" w:hAnsi="Times New Roman" w:eastAsia="宋体" w:cs="Times New Roman"/>
                <w:color w:val="000000"/>
                <w:spacing w:val="0"/>
                <w:w w:val="100"/>
                <w:kern w:val="2"/>
                <w:position w:val="0"/>
                <w:sz w:val="21"/>
                <w:szCs w:val="21"/>
                <w:shd w:val="clear"/>
                <w:lang w:val="en-US" w:eastAsia="zh-CN" w:bidi="ar-SA"/>
              </w:rPr>
              <w:t>-</w:t>
            </w:r>
            <w:r>
              <w:rPr>
                <w:rFonts w:hint="default" w:ascii="Times New Roman" w:hAnsi="Times New Roman" w:eastAsia="宋体" w:cs="Times New Roman"/>
                <w:color w:val="000000"/>
                <w:spacing w:val="0"/>
                <w:w w:val="100"/>
                <w:kern w:val="2"/>
                <w:position w:val="0"/>
                <w:sz w:val="21"/>
                <w:szCs w:val="21"/>
                <w:shd w:val="clear"/>
                <w:lang w:val="en-US" w:eastAsia="en-US" w:bidi="ar-SA"/>
              </w:rPr>
              <w:t>2005</w:t>
            </w:r>
          </w:p>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val="en-US" w:eastAsia="en-US" w:bidi="ar-SA"/>
              </w:rPr>
              <w:t>GB 4706.</w:t>
            </w:r>
            <w:r>
              <w:rPr>
                <w:rFonts w:hint="default" w:ascii="Times New Roman" w:hAnsi="Times New Roman" w:eastAsia="宋体" w:cs="Times New Roman"/>
                <w:color w:val="000000"/>
                <w:spacing w:val="0"/>
                <w:w w:val="100"/>
                <w:kern w:val="2"/>
                <w:position w:val="0"/>
                <w:sz w:val="21"/>
                <w:szCs w:val="21"/>
                <w:shd w:val="clear"/>
                <w:lang w:eastAsia="zh-CN" w:bidi="ar-SA"/>
              </w:rPr>
              <w:t>11</w:t>
            </w:r>
            <w:r>
              <w:rPr>
                <w:rFonts w:hint="default" w:ascii="Times New Roman" w:hAnsi="Times New Roman" w:eastAsia="宋体" w:cs="Times New Roman"/>
                <w:color w:val="000000"/>
                <w:spacing w:val="0"/>
                <w:w w:val="100"/>
                <w:kern w:val="2"/>
                <w:position w:val="0"/>
                <w:sz w:val="21"/>
                <w:szCs w:val="21"/>
                <w:shd w:val="clear"/>
                <w:lang w:val="en-US" w:eastAsia="zh-CN" w:bidi="ar-SA"/>
              </w:rPr>
              <w:t>-</w:t>
            </w:r>
            <w:r>
              <w:rPr>
                <w:rFonts w:hint="default" w:ascii="Times New Roman" w:hAnsi="Times New Roman" w:eastAsia="宋体" w:cs="Times New Roman"/>
                <w:color w:val="000000"/>
                <w:spacing w:val="0"/>
                <w:w w:val="100"/>
                <w:kern w:val="2"/>
                <w:position w:val="0"/>
                <w:sz w:val="21"/>
                <w:szCs w:val="21"/>
                <w:shd w:val="clear"/>
                <w:lang w:val="en-US" w:eastAsia="en-US" w:bidi="ar-SA"/>
              </w:rPr>
              <w:t>2008</w:t>
            </w:r>
          </w:p>
        </w:tc>
        <w:tc>
          <w:tcPr>
            <w:tcW w:w="1977" w:type="dxa"/>
            <w:vMerge w:val="restart"/>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val="en-US" w:eastAsia="en-US" w:bidi="ar-SA"/>
              </w:rPr>
              <w:t>GB 4706.</w:t>
            </w:r>
            <w:r>
              <w:rPr>
                <w:rFonts w:hint="default" w:ascii="Times New Roman" w:hAnsi="Times New Roman" w:eastAsia="宋体" w:cs="Times New Roman"/>
                <w:color w:val="000000"/>
                <w:spacing w:val="0"/>
                <w:w w:val="100"/>
                <w:kern w:val="2"/>
                <w:position w:val="0"/>
                <w:sz w:val="21"/>
                <w:szCs w:val="21"/>
                <w:shd w:val="clear"/>
                <w:lang w:eastAsia="zh-CN" w:bidi="ar-SA"/>
              </w:rPr>
              <w:t>1</w:t>
            </w:r>
            <w:r>
              <w:rPr>
                <w:rFonts w:hint="default" w:ascii="Times New Roman" w:hAnsi="Times New Roman" w:eastAsia="宋体" w:cs="Times New Roman"/>
                <w:color w:val="000000"/>
                <w:spacing w:val="0"/>
                <w:w w:val="100"/>
                <w:kern w:val="2"/>
                <w:position w:val="0"/>
                <w:sz w:val="21"/>
                <w:szCs w:val="21"/>
                <w:shd w:val="clear"/>
                <w:lang w:val="en-US" w:eastAsia="zh-CN" w:bidi="ar-SA"/>
              </w:rPr>
              <w:t>-</w:t>
            </w:r>
            <w:r>
              <w:rPr>
                <w:rFonts w:hint="default" w:ascii="Times New Roman" w:hAnsi="Times New Roman" w:eastAsia="宋体" w:cs="Times New Roman"/>
                <w:color w:val="000000"/>
                <w:spacing w:val="0"/>
                <w:w w:val="100"/>
                <w:kern w:val="2"/>
                <w:position w:val="0"/>
                <w:sz w:val="21"/>
                <w:szCs w:val="21"/>
                <w:shd w:val="clear"/>
                <w:lang w:eastAsia="zh-CN" w:bidi="ar-SA"/>
              </w:rPr>
              <w:t>2005</w:t>
            </w:r>
          </w:p>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val="en-US" w:eastAsia="en-US" w:bidi="ar-SA"/>
              </w:rPr>
              <w:t>GB 4706.</w:t>
            </w:r>
            <w:r>
              <w:rPr>
                <w:rFonts w:hint="default" w:ascii="Times New Roman" w:hAnsi="Times New Roman" w:eastAsia="宋体" w:cs="Times New Roman"/>
                <w:color w:val="000000"/>
                <w:spacing w:val="0"/>
                <w:w w:val="100"/>
                <w:kern w:val="2"/>
                <w:position w:val="0"/>
                <w:sz w:val="21"/>
                <w:szCs w:val="21"/>
                <w:shd w:val="clear"/>
                <w:lang w:eastAsia="zh-CN" w:bidi="ar-SA"/>
              </w:rPr>
              <w:t>11</w:t>
            </w:r>
            <w:r>
              <w:rPr>
                <w:rFonts w:hint="default" w:ascii="Times New Roman" w:hAnsi="Times New Roman" w:eastAsia="宋体" w:cs="Times New Roman"/>
                <w:color w:val="000000"/>
                <w:spacing w:val="0"/>
                <w:w w:val="100"/>
                <w:kern w:val="2"/>
                <w:position w:val="0"/>
                <w:sz w:val="21"/>
                <w:szCs w:val="21"/>
                <w:shd w:val="clear"/>
                <w:lang w:val="en-US" w:eastAsia="zh-CN" w:bidi="ar-SA"/>
              </w:rPr>
              <w:t>-</w:t>
            </w:r>
            <w:r>
              <w:rPr>
                <w:rFonts w:hint="default" w:ascii="Times New Roman" w:hAnsi="Times New Roman" w:eastAsia="宋体" w:cs="Times New Roman"/>
                <w:color w:val="000000"/>
                <w:spacing w:val="0"/>
                <w:w w:val="100"/>
                <w:kern w:val="2"/>
                <w:position w:val="0"/>
                <w:sz w:val="21"/>
                <w:szCs w:val="21"/>
                <w:shd w:val="clear"/>
                <w:lang w:eastAsia="zh-CN" w:bidi="ar-SA"/>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2</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输入功率和电流</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73"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3</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发热</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4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val="en-US" w:eastAsia="zh-CN" w:bidi="ar-SA"/>
              </w:rPr>
              <w:t>4</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工作温度下的泄漏电流和电气强度</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29"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5</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耐潮湿</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6</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泄漏电流和电气强度</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43"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7</w:t>
            </w:r>
          </w:p>
        </w:tc>
        <w:tc>
          <w:tcPr>
            <w:tcW w:w="4175" w:type="dxa"/>
            <w:shd w:val="clear" w:color="auto" w:fill="FFFFFF"/>
            <w:vAlign w:val="top"/>
          </w:tcPr>
          <w:p>
            <w:pPr>
              <w:keepNext w:val="0"/>
              <w:keepLines w:val="0"/>
              <w:shd w:val="clear"/>
              <w:bidi w:val="0"/>
              <w:snapToGrid w:val="0"/>
              <w:spacing w:before="0" w:after="0" w:line="440" w:lineRule="exact"/>
              <w:ind w:left="0" w:right="166" w:rightChars="69"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非正常工作（不包括第</w:t>
            </w:r>
            <w:r>
              <w:rPr>
                <w:rFonts w:hint="default" w:ascii="Times New Roman" w:hAnsi="Times New Roman" w:eastAsia="宋体" w:cs="Times New Roman"/>
                <w:color w:val="000000"/>
                <w:spacing w:val="0"/>
                <w:w w:val="100"/>
                <w:kern w:val="2"/>
                <w:position w:val="0"/>
                <w:sz w:val="21"/>
                <w:szCs w:val="21"/>
                <w:shd w:val="clear"/>
                <w:lang w:val="en-US" w:eastAsia="zh-CN" w:bidi="ar-SA"/>
              </w:rPr>
              <w:t>19.11.4</w:t>
            </w:r>
            <w:r>
              <w:rPr>
                <w:rFonts w:hint="default" w:ascii="Times New Roman" w:hAnsi="Times New Roman" w:eastAsia="宋体" w:cs="Times New Roman"/>
                <w:color w:val="000000"/>
                <w:spacing w:val="0"/>
                <w:w w:val="100"/>
                <w:kern w:val="2"/>
                <w:position w:val="0"/>
                <w:sz w:val="21"/>
                <w:szCs w:val="21"/>
                <w:shd w:val="clear"/>
                <w:lang w:eastAsia="zh-CN" w:bidi="ar-SA"/>
              </w:rPr>
              <w:t>条的试验）</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6"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8</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机械强度</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16"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9</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结构</w:t>
            </w:r>
            <w:r>
              <w:rPr>
                <w:rFonts w:hint="default" w:ascii="Times New Roman" w:hAnsi="Times New Roman" w:cs="Times New Roman"/>
                <w:kern w:val="0"/>
                <w:sz w:val="21"/>
                <w:szCs w:val="21"/>
                <w:lang w:val="en-US" w:eastAsia="zh-CN"/>
              </w:rPr>
              <w:t>（不包括第22.46条的试验）</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6"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10</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内部布线</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66"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11</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电源连接和外部软线</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12</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外部导线用接线端子</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13</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接地措施</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14</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螺钉和连接</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51" w:hRule="exact"/>
          <w:jc w:val="center"/>
        </w:trPr>
        <w:tc>
          <w:tcPr>
            <w:tcW w:w="664"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15</w:t>
            </w:r>
          </w:p>
        </w:tc>
        <w:tc>
          <w:tcPr>
            <w:tcW w:w="4175" w:type="dxa"/>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r>
              <w:rPr>
                <w:rFonts w:hint="default" w:ascii="Times New Roman" w:hAnsi="Times New Roman" w:eastAsia="宋体" w:cs="Times New Roman"/>
                <w:color w:val="000000"/>
                <w:spacing w:val="0"/>
                <w:w w:val="100"/>
                <w:kern w:val="2"/>
                <w:position w:val="0"/>
                <w:sz w:val="21"/>
                <w:szCs w:val="21"/>
                <w:shd w:val="clear"/>
                <w:lang w:eastAsia="zh-CN" w:bidi="ar-SA"/>
              </w:rPr>
              <w:t>电气间隙、爬电距离和固体绝缘</w:t>
            </w:r>
          </w:p>
        </w:tc>
        <w:tc>
          <w:tcPr>
            <w:tcW w:w="1888"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c>
          <w:tcPr>
            <w:tcW w:w="1977" w:type="dxa"/>
            <w:vMerge w:val="continue"/>
            <w:shd w:val="clear" w:color="auto" w:fill="FFFFFF"/>
            <w:vAlign w:val="center"/>
          </w:tcPr>
          <w:p>
            <w:pPr>
              <w:keepNext w:val="0"/>
              <w:keepLines w:val="0"/>
              <w:shd w:val="clear"/>
              <w:bidi w:val="0"/>
              <w:snapToGrid w:val="0"/>
              <w:spacing w:before="0" w:after="0" w:line="440" w:lineRule="exact"/>
              <w:ind w:left="0" w:right="0" w:firstLine="0"/>
              <w:jc w:val="center"/>
              <w:rPr>
                <w:rFonts w:hint="default" w:ascii="Times New Roman" w:hAnsi="Times New Roman" w:eastAsia="宋体" w:cs="Times New Roman"/>
                <w:color w:val="000000"/>
                <w:spacing w:val="0"/>
                <w:w w:val="100"/>
                <w:kern w:val="2"/>
                <w:position w:val="0"/>
                <w:sz w:val="21"/>
                <w:szCs w:val="21"/>
                <w:shd w:val="clear"/>
                <w:lang w:eastAsia="zh-CN" w:bidi="ar-SA"/>
              </w:rPr>
            </w:pPr>
          </w:p>
        </w:tc>
      </w:tr>
    </w:tbl>
    <w:p>
      <w:pPr>
        <w:shd w:val="clear" w:color="auto" w:fill="auto"/>
        <w:snapToGrid w:val="0"/>
        <w:spacing w:line="440" w:lineRule="exact"/>
        <w:ind w:firstLine="420" w:firstLineChars="200"/>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凡是注日期的文件</w:t>
      </w:r>
      <w:r>
        <w:rPr>
          <w:rFonts w:hint="eastAsia"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其随后所有的修改单（不包括勘误的内容）或修订版不适用于本</w:t>
      </w:r>
      <w:r>
        <w:rPr>
          <w:rFonts w:hint="default" w:ascii="Times New Roman" w:hAnsi="Times New Roman" w:cs="Times New Roman"/>
          <w:color w:val="000000"/>
          <w:sz w:val="21"/>
          <w:szCs w:val="21"/>
          <w:lang w:val="zh-CN" w:eastAsia="zh-CN"/>
        </w:rPr>
        <w:t>细则。</w:t>
      </w:r>
      <w:r>
        <w:rPr>
          <w:rFonts w:hint="default" w:ascii="Times New Roman" w:hAnsi="Times New Roman" w:cs="Times New Roman"/>
          <w:color w:val="000000"/>
          <w:sz w:val="21"/>
          <w:szCs w:val="21"/>
        </w:rPr>
        <w:t>凡是不注日期的文件，其最新版本适用于本细则</w:t>
      </w:r>
      <w:r>
        <w:rPr>
          <w:rFonts w:hint="default" w:ascii="Times New Roman" w:hAnsi="Times New Roman" w:eastAsia="宋体" w:cs="Times New Roman"/>
          <w:color w:val="000000"/>
          <w:sz w:val="21"/>
          <w:szCs w:val="21"/>
          <w:lang w:eastAsia="zh-CN"/>
        </w:rPr>
        <w:t>。</w:t>
      </w:r>
    </w:p>
    <w:p>
      <w:pPr>
        <w:spacing w:line="360" w:lineRule="auto"/>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shd w:val="clear" w:color="auto" w:fill="auto"/>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GB 4706.1</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rPr>
        <w:t>2005</w:t>
      </w:r>
      <w:r>
        <w:rPr>
          <w:rFonts w:hint="default"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家用和类似用途电器的安全 第1部分：通用要求</w:t>
      </w:r>
      <w:r>
        <w:rPr>
          <w:rFonts w:hint="default" w:ascii="Times New Roman" w:hAnsi="Times New Roman" w:eastAsia="宋体" w:cs="Times New Roman"/>
          <w:color w:val="000000"/>
          <w:sz w:val="21"/>
          <w:szCs w:val="21"/>
          <w:lang w:eastAsia="zh-CN"/>
        </w:rPr>
        <w:t>》</w:t>
      </w:r>
    </w:p>
    <w:p>
      <w:pPr>
        <w:shd w:val="clear" w:color="auto" w:fill="auto"/>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en-US"/>
        </w:rPr>
        <w:t>GB 4706.</w:t>
      </w:r>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w:t>
      </w:r>
      <w:r>
        <w:rPr>
          <w:rFonts w:hint="default" w:ascii="Times New Roman" w:hAnsi="Times New Roman" w:cs="Times New Roman"/>
          <w:color w:val="000000"/>
          <w:sz w:val="21"/>
          <w:szCs w:val="21"/>
          <w:lang w:val="en-US" w:eastAsia="en-US"/>
        </w:rPr>
        <w:t>2008</w:t>
      </w:r>
      <w:r>
        <w:rPr>
          <w:rFonts w:hint="default"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家用和类似用途电器的安全 快热式热水器的特殊要求</w:t>
      </w:r>
      <w:r>
        <w:rPr>
          <w:rFonts w:hint="default" w:ascii="Times New Roman" w:hAnsi="Times New Roman" w:eastAsia="宋体" w:cs="Times New Roman"/>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snapToGrid w:val="0"/>
        <w:spacing w:line="440" w:lineRule="exac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snapToGrid w:val="0"/>
        <w:spacing w:line="440" w:lineRule="exact"/>
        <w:ind w:firstLine="420" w:firstLineChars="20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经检验，</w:t>
      </w:r>
      <w:r>
        <w:rPr>
          <w:rFonts w:hint="eastAsia" w:ascii="Times New Roman" w:hAnsi="Times New Roman" w:cs="Times New Roman"/>
          <w:color w:val="000000"/>
          <w:sz w:val="21"/>
          <w:szCs w:val="21"/>
          <w:lang w:eastAsia="zh-CN"/>
        </w:rPr>
        <w:t>所</w:t>
      </w:r>
      <w:r>
        <w:rPr>
          <w:rFonts w:hint="default" w:ascii="Times New Roman" w:hAnsi="Times New Roman" w:cs="Times New Roman"/>
          <w:color w:val="000000"/>
          <w:sz w:val="21"/>
          <w:szCs w:val="21"/>
        </w:rPr>
        <w:t>检验项目全部</w:t>
      </w:r>
      <w:r>
        <w:rPr>
          <w:rFonts w:hint="eastAsia" w:ascii="Times New Roman" w:hAnsi="Times New Roman" w:cs="Times New Roman"/>
          <w:color w:val="000000"/>
          <w:sz w:val="21"/>
          <w:szCs w:val="21"/>
          <w:lang w:eastAsia="zh-CN"/>
        </w:rPr>
        <w:t>符合标准要求</w:t>
      </w:r>
      <w:r>
        <w:rPr>
          <w:rFonts w:hint="default" w:ascii="Times New Roman" w:hAnsi="Times New Roman" w:cs="Times New Roman"/>
          <w:color w:val="000000"/>
          <w:sz w:val="21"/>
          <w:szCs w:val="21"/>
        </w:rPr>
        <w:t>，判定为被抽查产品</w:t>
      </w:r>
      <w:r>
        <w:rPr>
          <w:rFonts w:hint="eastAsia" w:ascii="Times New Roman" w:hAnsi="Times New Roman" w:cs="Times New Roman"/>
          <w:color w:val="000000"/>
          <w:sz w:val="21"/>
          <w:szCs w:val="21"/>
          <w:lang w:eastAsia="zh-CN"/>
        </w:rPr>
        <w:t>未发现不</w:t>
      </w:r>
      <w:r>
        <w:rPr>
          <w:rFonts w:hint="default" w:ascii="Times New Roman" w:hAnsi="Times New Roman" w:cs="Times New Roman"/>
          <w:color w:val="000000"/>
          <w:sz w:val="21"/>
          <w:szCs w:val="21"/>
        </w:rPr>
        <w:t>合格；检验项目中任一项或一项以上不合格，判定为被抽查产品不合格。</w:t>
      </w:r>
    </w:p>
    <w:p>
      <w:pPr>
        <w:snapToGrid w:val="0"/>
        <w:spacing w:line="440" w:lineRule="exact"/>
        <w:ind w:firstLine="417" w:firstLineChars="199"/>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w:t>
      </w:r>
      <w:r>
        <w:rPr>
          <w:rFonts w:hint="eastAsia" w:ascii="Times New Roman" w:hAnsi="Times New Roman" w:eastAsia="宋体" w:cs="Times New Roman"/>
          <w:color w:val="000000"/>
          <w:sz w:val="21"/>
          <w:szCs w:val="21"/>
          <w:lang w:eastAsia="zh-CN"/>
        </w:rPr>
        <w:t>，</w:t>
      </w:r>
      <w:r>
        <w:rPr>
          <w:rFonts w:hint="default" w:ascii="Times New Roman" w:hAnsi="Times New Roman" w:cs="Times New Roman"/>
          <w:color w:val="000000"/>
          <w:sz w:val="21"/>
          <w:szCs w:val="21"/>
        </w:rPr>
        <w:t>应按被检产品明示的质量要求判定。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w:t>
      </w:r>
      <w:r>
        <w:rPr>
          <w:rFonts w:hint="eastAsia" w:eastAsia="宋体" w:cs="Times New Roman"/>
          <w:color w:val="000000"/>
          <w:sz w:val="21"/>
          <w:szCs w:val="21"/>
          <w:lang w:eastAsia="zh-CN"/>
        </w:rPr>
        <w:t>本</w:t>
      </w:r>
      <w:r>
        <w:rPr>
          <w:rFonts w:hint="default" w:ascii="Times New Roman" w:hAnsi="Times New Roman" w:cs="Times New Roman"/>
          <w:color w:val="000000"/>
          <w:sz w:val="21"/>
          <w:szCs w:val="21"/>
        </w:rPr>
        <w:t>细则中检验项目依据的推荐性标准要求时，应以被检产品明示的质量要求判定，但应在检验报告备注中进行说明。</w:t>
      </w:r>
    </w:p>
    <w:p>
      <w:pPr>
        <w:snapToGrid w:val="0"/>
        <w:spacing w:line="440" w:lineRule="exact"/>
        <w:ind w:firstLine="417" w:firstLineChars="19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snapToGrid w:val="0"/>
        <w:spacing w:line="440" w:lineRule="exact"/>
        <w:ind w:firstLine="417" w:firstLineChars="199"/>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若被检产品明示的质量要求缺少本细则中检验项目依据的推荐性标准要求时，该项目不参与判定，但应在检验报告备注中进行说明。</w:t>
      </w:r>
    </w:p>
    <w:p>
      <w:pPr>
        <w:keepNext w:val="0"/>
        <w:keepLines w:val="0"/>
        <w:shd w:val="clear"/>
        <w:bidi w:val="0"/>
        <w:snapToGrid w:val="0"/>
        <w:spacing w:before="0" w:after="0" w:line="360" w:lineRule="auto"/>
        <w:ind w:left="0" w:right="0" w:firstLine="0"/>
        <w:jc w:val="center"/>
        <w:rPr>
          <w:rFonts w:hint="default" w:ascii="Times New Roman" w:hAnsi="Times New Roman" w:eastAsia="方正小标宋简体" w:cs="Times New Roman"/>
          <w:color w:val="000000"/>
          <w:spacing w:val="0"/>
          <w:w w:val="100"/>
          <w:kern w:val="2"/>
          <w:position w:val="0"/>
          <w:sz w:val="32"/>
          <w:szCs w:val="32"/>
          <w:shd w:val="clear"/>
          <w:lang w:eastAsia="zh-CN" w:bidi="ar-SA"/>
        </w:rPr>
      </w:pPr>
    </w:p>
    <w:p>
      <w:pPr>
        <w:pStyle w:val="12"/>
        <w:keepNext w:val="0"/>
        <w:keepLines w:val="0"/>
        <w:widowControl w:val="0"/>
        <w:shd w:val="clear" w:color="auto" w:fill="auto"/>
        <w:bidi w:val="0"/>
        <w:spacing w:before="0" w:after="140" w:line="240" w:lineRule="auto"/>
        <w:ind w:left="1020" w:right="0" w:firstLine="0"/>
        <w:jc w:val="left"/>
        <w:rPr>
          <w:rFonts w:hint="default" w:ascii="Times New Roman" w:hAnsi="Times New Roman" w:cs="Times New Roman"/>
        </w:rPr>
      </w:pPr>
    </w:p>
    <w:sectPr>
      <w:footnotePr>
        <w:numFmt w:val="decimal"/>
      </w:footnotePr>
      <w:type w:val="continuous"/>
      <w:pgSz w:w="11900" w:h="16840"/>
      <w:pgMar w:top="850" w:right="1134" w:bottom="850" w:left="1134" w:header="1446" w:footer="1056"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2410D46"/>
    <w:rsid w:val="03D62686"/>
    <w:rsid w:val="041A29FD"/>
    <w:rsid w:val="082D382F"/>
    <w:rsid w:val="11CD5D67"/>
    <w:rsid w:val="166C4A3D"/>
    <w:rsid w:val="18741621"/>
    <w:rsid w:val="1B1113DC"/>
    <w:rsid w:val="2F5063F3"/>
    <w:rsid w:val="39E85B42"/>
    <w:rsid w:val="3F840999"/>
    <w:rsid w:val="4D846380"/>
    <w:rsid w:val="57EC7BD6"/>
    <w:rsid w:val="5A8F0EA4"/>
    <w:rsid w:val="62A76FE6"/>
    <w:rsid w:val="708970D7"/>
    <w:rsid w:val="75F37F06"/>
    <w:rsid w:val="7D634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Other|1_"/>
    <w:basedOn w:val="4"/>
    <w:link w:val="8"/>
    <w:qFormat/>
    <w:uiPriority w:val="0"/>
    <w:rPr>
      <w:rFonts w:ascii="宋体" w:hAnsi="宋体" w:eastAsia="宋体" w:cs="宋体"/>
      <w:sz w:val="19"/>
      <w:szCs w:val="19"/>
      <w:u w:val="none"/>
      <w:shd w:val="clear" w:color="auto" w:fill="auto"/>
      <w:lang w:val="zh-TW" w:eastAsia="zh-TW" w:bidi="zh-TW"/>
    </w:rPr>
  </w:style>
  <w:style w:type="paragraph" w:customStyle="1" w:styleId="8">
    <w:name w:val="Other|1"/>
    <w:basedOn w:val="1"/>
    <w:link w:val="7"/>
    <w:qFormat/>
    <w:uiPriority w:val="0"/>
    <w:pPr>
      <w:widowControl w:val="0"/>
      <w:shd w:val="clear" w:color="auto" w:fill="auto"/>
      <w:spacing w:after="80"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9">
    <w:name w:val="Heading #1|1_"/>
    <w:basedOn w:val="4"/>
    <w:link w:val="10"/>
    <w:qFormat/>
    <w:uiPriority w:val="0"/>
    <w:rPr>
      <w:rFonts w:ascii="宋体" w:hAnsi="宋体" w:eastAsia="宋体" w:cs="宋体"/>
      <w:sz w:val="32"/>
      <w:szCs w:val="32"/>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720"/>
      <w:jc w:val="center"/>
      <w:outlineLvl w:val="0"/>
    </w:pPr>
    <w:rPr>
      <w:rFonts w:ascii="宋体" w:hAnsi="宋体" w:eastAsia="宋体" w:cs="宋体"/>
      <w:sz w:val="32"/>
      <w:szCs w:val="32"/>
      <w:u w:val="none"/>
      <w:shd w:val="clear" w:color="auto" w:fill="auto"/>
      <w:lang w:val="zh-TW" w:eastAsia="zh-TW" w:bidi="zh-TW"/>
    </w:rPr>
  </w:style>
  <w:style w:type="character" w:customStyle="1" w:styleId="11">
    <w:name w:val="Body text|1_"/>
    <w:basedOn w:val="4"/>
    <w:link w:val="12"/>
    <w:qFormat/>
    <w:uiPriority w:val="0"/>
    <w:rPr>
      <w:rFonts w:ascii="宋体" w:hAnsi="宋体" w:eastAsia="宋体" w:cs="宋体"/>
      <w:sz w:val="19"/>
      <w:szCs w:val="19"/>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after="80" w:line="360" w:lineRule="auto"/>
      <w:ind w:firstLine="400"/>
    </w:pPr>
    <w:rPr>
      <w:rFonts w:ascii="宋体" w:hAnsi="宋体" w:eastAsia="宋体" w:cs="宋体"/>
      <w:sz w:val="19"/>
      <w:szCs w:val="19"/>
      <w:u w:val="none"/>
      <w:shd w:val="clear" w:color="auto" w:fill="auto"/>
      <w:lang w:val="zh-TW" w:eastAsia="zh-TW" w:bidi="zh-TW"/>
    </w:rPr>
  </w:style>
  <w:style w:type="character" w:customStyle="1" w:styleId="13">
    <w:name w:val="Body text|2_"/>
    <w:basedOn w:val="4"/>
    <w:link w:val="14"/>
    <w:qFormat/>
    <w:uiPriority w:val="0"/>
    <w:rPr>
      <w:rFonts w:ascii="宋体" w:hAnsi="宋体" w:eastAsia="宋体" w:cs="宋体"/>
      <w:sz w:val="16"/>
      <w:szCs w:val="16"/>
      <w:u w:val="none"/>
      <w:shd w:val="clear" w:color="auto" w:fill="auto"/>
      <w:lang w:val="zh-TW" w:eastAsia="zh-TW" w:bidi="zh-TW"/>
    </w:rPr>
  </w:style>
  <w:style w:type="paragraph" w:customStyle="1" w:styleId="14">
    <w:name w:val="Body text|2"/>
    <w:basedOn w:val="1"/>
    <w:link w:val="13"/>
    <w:qFormat/>
    <w:uiPriority w:val="0"/>
    <w:pPr>
      <w:widowControl w:val="0"/>
      <w:shd w:val="clear" w:color="auto" w:fill="auto"/>
      <w:spacing w:after="20" w:line="302" w:lineRule="exact"/>
      <w:ind w:firstLine="160"/>
    </w:pPr>
    <w:rPr>
      <w:rFonts w:ascii="宋体" w:hAnsi="宋体" w:eastAsia="宋体" w:cs="宋体"/>
      <w:sz w:val="16"/>
      <w:szCs w:val="16"/>
      <w:u w:val="none"/>
      <w:shd w:val="clear" w:color="auto" w:fill="auto"/>
      <w:lang w:val="zh-TW" w:eastAsia="zh-TW" w:bidi="zh-TW"/>
    </w:rPr>
  </w:style>
  <w:style w:type="character" w:customStyle="1" w:styleId="15">
    <w:name w:val="Table caption|1_"/>
    <w:basedOn w:val="4"/>
    <w:link w:val="16"/>
    <w:qFormat/>
    <w:uiPriority w:val="0"/>
    <w:rPr>
      <w:rFonts w:ascii="宋体" w:hAnsi="宋体" w:eastAsia="宋体" w:cs="宋体"/>
      <w:sz w:val="17"/>
      <w:szCs w:val="17"/>
      <w:u w:val="none"/>
      <w:shd w:val="clear" w:color="auto" w:fill="auto"/>
      <w:lang w:val="zh-TW" w:eastAsia="zh-TW" w:bidi="zh-TW"/>
    </w:rPr>
  </w:style>
  <w:style w:type="paragraph" w:customStyle="1" w:styleId="16">
    <w:name w:val="Table caption|1"/>
    <w:basedOn w:val="1"/>
    <w:link w:val="15"/>
    <w:qFormat/>
    <w:uiPriority w:val="0"/>
    <w:pPr>
      <w:widowControl w:val="0"/>
      <w:shd w:val="clear" w:color="auto" w:fill="auto"/>
      <w:ind w:firstLine="120"/>
    </w:pPr>
    <w:rPr>
      <w:rFonts w:ascii="宋体" w:hAnsi="宋体" w:eastAsia="宋体" w:cs="宋体"/>
      <w:sz w:val="17"/>
      <w:szCs w:val="17"/>
      <w:u w:val="none"/>
      <w:shd w:val="clear" w:color="auto" w:fill="auto"/>
      <w:lang w:val="zh-TW" w:eastAsia="zh-TW" w:bidi="zh-TW"/>
    </w:rPr>
  </w:style>
  <w:style w:type="paragraph" w:customStyle="1"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2020-01-08T02:25:00Z</dcterms:created>
  <dc:creator>JS</dc:creator>
  <cp:lastModifiedBy>冯家宝</cp:lastModifiedBy>
  <dcterms:modified xsi:type="dcterms:W3CDTF">2020-01-31T07:26:28Z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