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shd w:val="clear" w:color="auto" w:fill="auto"/>
        <w:bidi w:val="0"/>
        <w:adjustRightInd/>
        <w:snapToGrid w:val="0"/>
        <w:spacing w:before="0" w:after="0" w:line="360" w:lineRule="auto"/>
        <w:ind w:left="-199" w:leftChars="-95" w:right="0" w:firstLine="199" w:firstLineChars="62"/>
        <w:jc w:val="center"/>
        <w:rPr>
          <w:rFonts w:hint="eastAsia" w:ascii="宋体" w:hAnsi="宋体" w:eastAsia="宋体" w:cs="宋体"/>
          <w:b/>
          <w:bCs/>
          <w:color w:val="000000"/>
          <w:spacing w:val="0"/>
          <w:w w:val="100"/>
          <w:kern w:val="0"/>
          <w:position w:val="0"/>
          <w:sz w:val="32"/>
          <w:szCs w:val="32"/>
          <w:shd w:val="clear" w:color="auto" w:fill="auto"/>
          <w:lang w:eastAsia="en-US" w:bidi="en-US"/>
        </w:rPr>
      </w:pPr>
      <w:bookmarkStart w:id="0" w:name="_GoBack"/>
      <w:bookmarkEnd w:id="0"/>
      <w:r>
        <w:rPr>
          <w:rFonts w:hint="default" w:ascii="宋体" w:hAnsi="宋体" w:eastAsia="宋体" w:cs="宋体"/>
          <w:b/>
          <w:bCs/>
          <w:color w:val="000000"/>
          <w:spacing w:val="0"/>
          <w:w w:val="100"/>
          <w:kern w:val="0"/>
          <w:position w:val="0"/>
          <w:sz w:val="32"/>
          <w:szCs w:val="32"/>
          <w:shd w:val="clear" w:color="auto" w:fill="auto"/>
          <w:lang w:eastAsia="en-US" w:bidi="en-US"/>
        </w:rPr>
        <w:t>广州市</w:t>
      </w:r>
      <w:r>
        <w:rPr>
          <w:rFonts w:hint="eastAsia" w:ascii="宋体" w:hAnsi="宋体" w:eastAsia="宋体" w:cs="宋体"/>
          <w:b/>
          <w:bCs/>
          <w:color w:val="000000"/>
          <w:spacing w:val="0"/>
          <w:w w:val="100"/>
          <w:kern w:val="0"/>
          <w:position w:val="0"/>
          <w:sz w:val="32"/>
          <w:szCs w:val="32"/>
          <w:shd w:val="clear" w:color="auto" w:fill="auto"/>
          <w:lang w:eastAsia="zh-CN" w:bidi="en-US"/>
        </w:rPr>
        <w:t>市场监督管理局</w:t>
      </w:r>
      <w:r>
        <w:rPr>
          <w:rFonts w:hint="eastAsia" w:ascii="宋体" w:hAnsi="宋体" w:eastAsia="宋体" w:cs="宋体"/>
          <w:b/>
          <w:bCs/>
          <w:color w:val="000000"/>
          <w:spacing w:val="0"/>
          <w:w w:val="100"/>
          <w:kern w:val="0"/>
          <w:position w:val="0"/>
          <w:sz w:val="32"/>
          <w:szCs w:val="32"/>
          <w:shd w:val="clear" w:color="auto" w:fill="auto"/>
          <w:lang w:eastAsia="en-US" w:bidi="en-US"/>
        </w:rPr>
        <w:t>室内加热器产品</w:t>
      </w:r>
      <w:r>
        <w:rPr>
          <w:rFonts w:hint="eastAsia" w:ascii="宋体" w:hAnsi="宋体" w:eastAsia="宋体" w:cs="宋体"/>
          <w:b/>
          <w:bCs/>
          <w:color w:val="000000"/>
          <w:spacing w:val="0"/>
          <w:w w:val="100"/>
          <w:kern w:val="0"/>
          <w:position w:val="0"/>
          <w:sz w:val="32"/>
          <w:szCs w:val="32"/>
          <w:shd w:val="clear" w:color="auto" w:fill="auto"/>
          <w:lang w:eastAsia="zh-CN" w:bidi="en-US"/>
        </w:rPr>
        <w:t>质量</w:t>
      </w:r>
      <w:r>
        <w:rPr>
          <w:rFonts w:hint="eastAsia" w:ascii="宋体" w:hAnsi="宋体" w:eastAsia="宋体" w:cs="宋体"/>
          <w:b/>
          <w:bCs/>
          <w:color w:val="000000"/>
          <w:spacing w:val="0"/>
          <w:w w:val="100"/>
          <w:kern w:val="0"/>
          <w:position w:val="0"/>
          <w:sz w:val="32"/>
          <w:szCs w:val="32"/>
          <w:shd w:val="clear" w:color="auto" w:fill="auto"/>
          <w:lang w:eastAsia="en-US" w:bidi="en-US"/>
        </w:rPr>
        <w:t>监督抽查实施细则</w:t>
      </w:r>
    </w:p>
    <w:p>
      <w:pPr>
        <w:keepNext w:val="0"/>
        <w:keepLines w:val="0"/>
        <w:shd w:val="clear" w:color="auto" w:fill="auto"/>
        <w:bidi w:val="0"/>
        <w:adjustRightInd/>
        <w:snapToGrid w:val="0"/>
        <w:spacing w:before="0" w:after="0" w:line="360" w:lineRule="auto"/>
        <w:ind w:left="-199" w:leftChars="-95" w:right="0" w:firstLine="198" w:firstLineChars="62"/>
        <w:jc w:val="center"/>
        <w:rPr>
          <w:rFonts w:hint="eastAsia" w:ascii="方正小标宋简体" w:hAnsi="仿宋" w:eastAsia="方正小标宋简体" w:cs="方正仿宋简体"/>
          <w:color w:val="000000"/>
          <w:spacing w:val="0"/>
          <w:w w:val="100"/>
          <w:kern w:val="0"/>
          <w:position w:val="0"/>
          <w:sz w:val="32"/>
          <w:szCs w:val="32"/>
          <w:shd w:val="clear" w:color="auto" w:fill="auto"/>
          <w:lang w:eastAsia="en-US" w:bidi="en-US"/>
        </w:rPr>
      </w:pPr>
    </w:p>
    <w:p>
      <w:pPr>
        <w:keepNext w:val="0"/>
        <w:keepLines w:val="0"/>
        <w:shd w:val="clear" w:color="auto" w:fill="auto"/>
        <w:bidi w:val="0"/>
        <w:adjustRightInd/>
        <w:snapToGrid w:val="0"/>
        <w:spacing w:before="0" w:after="0" w:line="440" w:lineRule="exact"/>
        <w:ind w:left="0" w:right="0" w:firstLine="0" w:firstLineChars="0"/>
        <w:rPr>
          <w:rFonts w:hint="eastAsia" w:ascii="黑体" w:hAnsi="宋体" w:eastAsia="黑体" w:cs="Times New Roman"/>
          <w:color w:val="000000"/>
          <w:spacing w:val="0"/>
          <w:w w:val="100"/>
          <w:kern w:val="0"/>
          <w:position w:val="0"/>
          <w:sz w:val="21"/>
          <w:szCs w:val="21"/>
          <w:shd w:val="clear" w:color="auto" w:fill="auto"/>
          <w:lang w:eastAsia="en-US" w:bidi="en-US"/>
        </w:rPr>
      </w:pPr>
      <w:r>
        <w:rPr>
          <w:rFonts w:hint="eastAsia" w:ascii="黑体" w:hAnsi="宋体" w:eastAsia="黑体" w:cs="Times New Roman"/>
          <w:color w:val="000000"/>
          <w:spacing w:val="0"/>
          <w:w w:val="100"/>
          <w:kern w:val="0"/>
          <w:position w:val="0"/>
          <w:sz w:val="21"/>
          <w:szCs w:val="21"/>
          <w:shd w:val="clear" w:color="auto" w:fill="auto"/>
          <w:lang w:eastAsia="en-US" w:bidi="en-US"/>
        </w:rPr>
        <w:t>1 抽样方法</w:t>
      </w:r>
    </w:p>
    <w:p>
      <w:pPr>
        <w:snapToGrid w:val="0"/>
        <w:spacing w:line="440" w:lineRule="exact"/>
        <w:ind w:firstLine="420" w:firstLineChars="200"/>
        <w:rPr>
          <w:rFonts w:ascii="宋体" w:hAnsi="宋体"/>
          <w:color w:val="000000"/>
          <w:sz w:val="21"/>
          <w:szCs w:val="21"/>
        </w:rPr>
      </w:pPr>
      <w:r>
        <w:rPr>
          <w:rFonts w:hint="eastAsia" w:ascii="宋体" w:hAnsi="宋体"/>
          <w:color w:val="000000"/>
          <w:sz w:val="21"/>
          <w:szCs w:val="21"/>
        </w:rPr>
        <w:t>在企业的待销产品中随机抽取有产品质量检验合格证明或者以其他形式表明合格的、近期生产的产品。</w:t>
      </w:r>
    </w:p>
    <w:p>
      <w:pPr>
        <w:snapToGrid w:val="0"/>
        <w:spacing w:line="440" w:lineRule="exact"/>
        <w:ind w:firstLine="420" w:firstLineChars="200"/>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抽查样品基数满足抽样数量即可。</w:t>
      </w:r>
    </w:p>
    <w:p>
      <w:pPr>
        <w:snapToGrid w:val="0"/>
        <w:spacing w:line="440" w:lineRule="exact"/>
        <w:ind w:firstLine="420" w:firstLineChars="200"/>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每批次产品抽取样品</w:t>
      </w:r>
      <w:r>
        <w:rPr>
          <w:rFonts w:hint="default" w:ascii="Times New Roman" w:hAnsi="Times New Roman" w:cs="Times New Roman"/>
          <w:color w:val="000000"/>
          <w:sz w:val="21"/>
          <w:szCs w:val="21"/>
          <w:lang w:val="en-US" w:eastAsia="zh-CN"/>
        </w:rPr>
        <w:t>3台</w:t>
      </w:r>
      <w:r>
        <w:rPr>
          <w:rFonts w:hint="default" w:ascii="Times New Roman" w:hAnsi="Times New Roman" w:cs="Times New Roman"/>
          <w:color w:val="000000"/>
          <w:sz w:val="21"/>
          <w:szCs w:val="21"/>
        </w:rPr>
        <w:t>，其中</w:t>
      </w:r>
      <w:r>
        <w:rPr>
          <w:rFonts w:hint="eastAsia" w:cs="Times New Roman"/>
          <w:color w:val="000000"/>
          <w:sz w:val="21"/>
          <w:szCs w:val="21"/>
          <w:lang w:val="en-US" w:eastAsia="zh-CN"/>
        </w:rPr>
        <w:t>2</w:t>
      </w:r>
      <w:r>
        <w:rPr>
          <w:rFonts w:hint="default" w:ascii="Times New Roman" w:hAnsi="Times New Roman" w:cs="Times New Roman"/>
          <w:color w:val="000000"/>
          <w:sz w:val="21"/>
          <w:szCs w:val="21"/>
          <w:lang w:eastAsia="zh-CN"/>
        </w:rPr>
        <w:t>台</w:t>
      </w:r>
      <w:r>
        <w:rPr>
          <w:rFonts w:hint="default" w:ascii="Times New Roman" w:hAnsi="Times New Roman" w:cs="Times New Roman"/>
          <w:color w:val="000000"/>
          <w:sz w:val="21"/>
          <w:szCs w:val="21"/>
        </w:rPr>
        <w:t>作为检验样品，</w:t>
      </w:r>
      <w:r>
        <w:rPr>
          <w:rFonts w:hint="default" w:ascii="Times New Roman" w:hAnsi="Times New Roman" w:cs="Times New Roman"/>
          <w:color w:val="000000"/>
          <w:sz w:val="21"/>
          <w:szCs w:val="21"/>
          <w:lang w:val="en-US" w:eastAsia="zh-CN"/>
        </w:rPr>
        <w:t>1</w:t>
      </w:r>
      <w:r>
        <w:rPr>
          <w:rFonts w:hint="default" w:ascii="Times New Roman" w:hAnsi="Times New Roman" w:cs="Times New Roman"/>
          <w:color w:val="000000"/>
          <w:sz w:val="21"/>
          <w:szCs w:val="21"/>
          <w:lang w:eastAsia="zh-CN"/>
        </w:rPr>
        <w:t>台</w:t>
      </w:r>
      <w:r>
        <w:rPr>
          <w:rFonts w:hint="default" w:ascii="Times New Roman" w:hAnsi="Times New Roman" w:cs="Times New Roman"/>
          <w:color w:val="000000"/>
          <w:sz w:val="21"/>
          <w:szCs w:val="21"/>
        </w:rPr>
        <w:t>作为备用样品。</w:t>
      </w:r>
    </w:p>
    <w:p>
      <w:pPr>
        <w:snapToGrid w:val="0"/>
        <w:spacing w:line="440" w:lineRule="exact"/>
        <w:ind w:firstLine="420" w:firstLineChars="200"/>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随机数一般可使用随机数表、随机数骰子或扑克牌等方法产生。</w:t>
      </w:r>
    </w:p>
    <w:p>
      <w:pPr>
        <w:snapToGrid w:val="0"/>
        <w:spacing w:line="440" w:lineRule="exact"/>
        <w:ind w:left="0" w:leftChars="0" w:firstLine="0" w:firstLineChars="0"/>
        <w:rPr>
          <w:rFonts w:ascii="黑体" w:hAnsi="宋体" w:eastAsia="黑体"/>
          <w:color w:val="000000"/>
          <w:sz w:val="21"/>
          <w:szCs w:val="21"/>
        </w:rPr>
      </w:pPr>
      <w:r>
        <w:rPr>
          <w:rFonts w:hint="eastAsia" w:ascii="黑体" w:hAnsi="宋体" w:eastAsia="黑体"/>
          <w:color w:val="000000"/>
          <w:sz w:val="21"/>
          <w:szCs w:val="21"/>
        </w:rPr>
        <w:t>2 检验依据</w:t>
      </w:r>
    </w:p>
    <w:p>
      <w:pPr>
        <w:snapToGrid w:val="0"/>
        <w:spacing w:line="440" w:lineRule="exact"/>
        <w:jc w:val="left"/>
        <w:rPr>
          <w:rFonts w:ascii="宋体" w:hAnsi="宋体"/>
          <w:color w:val="000000"/>
          <w:sz w:val="21"/>
          <w:szCs w:val="21"/>
        </w:rPr>
      </w:pPr>
      <w:r>
        <w:rPr>
          <w:rFonts w:hint="eastAsia" w:ascii="宋体" w:hAnsi="宋体"/>
          <w:color w:val="000000"/>
          <w:sz w:val="21"/>
          <w:szCs w:val="21"/>
        </w:rPr>
        <w:t>本次抽查检验项目和检验方法依据见表1</w:t>
      </w:r>
      <w:r>
        <w:rPr>
          <w:rFonts w:ascii="宋体" w:hAnsi="宋体"/>
          <w:color w:val="000000"/>
          <w:sz w:val="21"/>
          <w:szCs w:val="21"/>
        </w:rPr>
        <w:t>。</w:t>
      </w:r>
    </w:p>
    <w:p>
      <w:pPr>
        <w:snapToGrid w:val="0"/>
        <w:spacing w:line="440" w:lineRule="exact"/>
        <w:jc w:val="center"/>
        <w:rPr>
          <w:rFonts w:hint="eastAsia" w:ascii="宋体" w:hAnsi="宋体" w:eastAsia="宋体" w:cs="Times New Roman"/>
          <w:color w:val="000000"/>
          <w:spacing w:val="0"/>
          <w:w w:val="100"/>
          <w:kern w:val="2"/>
          <w:position w:val="0"/>
          <w:sz w:val="21"/>
          <w:szCs w:val="21"/>
          <w:shd w:val="clear" w:color="auto" w:fill="auto"/>
          <w:lang w:eastAsia="zh-CN" w:bidi="ar-SA"/>
        </w:rPr>
      </w:pPr>
      <w:r>
        <w:rPr>
          <w:rFonts w:hint="eastAsia" w:ascii="宋体" w:hAnsi="宋体"/>
          <w:color w:val="000000"/>
          <w:sz w:val="21"/>
          <w:szCs w:val="21"/>
        </w:rPr>
        <w:t>表</w:t>
      </w:r>
      <w:r>
        <w:rPr>
          <w:rFonts w:ascii="宋体" w:hAnsi="宋体"/>
          <w:color w:val="000000"/>
          <w:sz w:val="21"/>
          <w:szCs w:val="21"/>
        </w:rPr>
        <w:t>1</w:t>
      </w:r>
      <w:r>
        <w:rPr>
          <w:rFonts w:hint="eastAsia" w:ascii="宋体" w:hAnsi="宋体"/>
          <w:color w:val="000000"/>
          <w:sz w:val="21"/>
          <w:szCs w:val="21"/>
        </w:rPr>
        <w:t>检验项目</w:t>
      </w:r>
    </w:p>
    <w:tbl>
      <w:tblPr>
        <w:tblStyle w:val="7"/>
        <w:tblW w:w="90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3405"/>
        <w:gridCol w:w="2666"/>
        <w:gridCol w:w="2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9" w:hRule="atLeast"/>
          <w:jc w:val="center"/>
        </w:trPr>
        <w:tc>
          <w:tcPr>
            <w:tcW w:w="700"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vertAlign w:val="baseline"/>
              </w:rPr>
            </w:pPr>
            <w:r>
              <w:rPr>
                <w:rFonts w:hint="eastAsia"/>
                <w:lang w:eastAsia="zh-CN"/>
              </w:rPr>
              <w:t>序号</w:t>
            </w:r>
          </w:p>
        </w:tc>
        <w:tc>
          <w:tcPr>
            <w:tcW w:w="3405"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vertAlign w:val="baseline"/>
              </w:rPr>
            </w:pPr>
            <w:r>
              <w:rPr>
                <w:rFonts w:hint="eastAsia"/>
                <w:lang w:eastAsia="zh-CN"/>
              </w:rPr>
              <w:t>检验项目</w:t>
            </w:r>
          </w:p>
        </w:tc>
        <w:tc>
          <w:tcPr>
            <w:tcW w:w="2666"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vertAlign w:val="baseline"/>
              </w:rPr>
            </w:pPr>
            <w:r>
              <w:rPr>
                <w:rFonts w:hint="default" w:ascii="Times New Roman" w:hAnsi="Times New Roman" w:eastAsia="宋体" w:cs="Times New Roman"/>
                <w:color w:val="000000"/>
                <w:spacing w:val="0"/>
                <w:w w:val="100"/>
                <w:kern w:val="2"/>
                <w:position w:val="0"/>
                <w:sz w:val="21"/>
                <w:szCs w:val="21"/>
                <w:shd w:val="clear"/>
                <w:lang w:eastAsia="zh-CN" w:bidi="ar-SA"/>
              </w:rPr>
              <w:t>检验依据</w:t>
            </w:r>
          </w:p>
        </w:tc>
        <w:tc>
          <w:tcPr>
            <w:tcW w:w="2259"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vertAlign w:val="baseline"/>
              </w:rPr>
            </w:pPr>
            <w:r>
              <w:rPr>
                <w:rFonts w:hint="eastAsia"/>
                <w:lang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jc w:val="center"/>
        </w:trPr>
        <w:tc>
          <w:tcPr>
            <w:tcW w:w="70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firstLine="0" w:firstLineChars="0"/>
              <w:jc w:val="center"/>
              <w:textAlignment w:val="auto"/>
              <w:rPr>
                <w:rFonts w:hint="eastAsia"/>
                <w:lang w:eastAsia="zh-CN"/>
              </w:rPr>
            </w:pPr>
          </w:p>
        </w:tc>
        <w:tc>
          <w:tcPr>
            <w:tcW w:w="340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firstLine="0" w:firstLineChars="0"/>
              <w:jc w:val="center"/>
              <w:textAlignment w:val="auto"/>
              <w:rPr>
                <w:rFonts w:hint="eastAsia"/>
                <w:lang w:eastAsia="zh-CN"/>
              </w:rPr>
            </w:pPr>
          </w:p>
        </w:tc>
        <w:tc>
          <w:tcPr>
            <w:tcW w:w="2666"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firstLine="0" w:firstLineChars="0"/>
              <w:jc w:val="center"/>
              <w:textAlignment w:val="auto"/>
              <w:rPr>
                <w:rFonts w:hint="eastAsia"/>
                <w:lang w:eastAsia="zh-CN"/>
              </w:rPr>
            </w:pPr>
          </w:p>
        </w:tc>
        <w:tc>
          <w:tcPr>
            <w:tcW w:w="225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firstLine="0" w:firstLineChars="0"/>
              <w:jc w:val="center"/>
              <w:textAlignment w:val="auto"/>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70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eastAsia="宋体"/>
                <w:vertAlign w:val="baseline"/>
                <w:lang w:val="en-US" w:eastAsia="zh-CN"/>
              </w:rPr>
            </w:pPr>
            <w:r>
              <w:rPr>
                <w:rFonts w:hint="eastAsia"/>
                <w:vertAlign w:val="baseline"/>
                <w:lang w:val="en-US" w:eastAsia="zh-CN"/>
              </w:rPr>
              <w:t>1</w:t>
            </w:r>
          </w:p>
        </w:tc>
        <w:tc>
          <w:tcPr>
            <w:tcW w:w="3405"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vertAlign w:val="baseline"/>
              </w:rPr>
            </w:pPr>
            <w:r>
              <w:rPr>
                <w:rFonts w:hint="eastAsia"/>
              </w:rPr>
              <w:t>对触及带电部件的防护</w:t>
            </w:r>
          </w:p>
        </w:tc>
        <w:tc>
          <w:tcPr>
            <w:tcW w:w="2666"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vertAlign w:val="baseline"/>
                <w:lang w:val="en-US" w:eastAsia="zh-CN"/>
              </w:rPr>
            </w:pPr>
            <w:r>
              <w:rPr>
                <w:rFonts w:hint="eastAsia"/>
                <w:vertAlign w:val="baseline"/>
                <w:lang w:val="en-US" w:eastAsia="zh-CN"/>
              </w:rPr>
              <w:t>GB 4706.1-2005</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vertAlign w:val="baseline"/>
                <w:lang w:val="en-US" w:eastAsia="zh-CN"/>
              </w:rPr>
            </w:pPr>
            <w:r>
              <w:rPr>
                <w:rFonts w:hint="eastAsia"/>
                <w:vertAlign w:val="baseline"/>
                <w:lang w:val="en-US" w:eastAsia="zh-CN"/>
              </w:rPr>
              <w:t>GB 4706.23-2007</w:t>
            </w:r>
          </w:p>
        </w:tc>
        <w:tc>
          <w:tcPr>
            <w:tcW w:w="2259"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vertAlign w:val="baseline"/>
                <w:lang w:val="en-US" w:eastAsia="zh-CN"/>
              </w:rPr>
            </w:pPr>
            <w:r>
              <w:rPr>
                <w:rFonts w:hint="eastAsia"/>
                <w:vertAlign w:val="baseline"/>
                <w:lang w:val="en-US" w:eastAsia="zh-CN"/>
              </w:rPr>
              <w:t>GB 4706.1-2005</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vertAlign w:val="baseline"/>
                <w:lang w:val="en-US" w:eastAsia="zh-CN"/>
              </w:rPr>
            </w:pPr>
            <w:r>
              <w:rPr>
                <w:rFonts w:hint="eastAsia"/>
                <w:vertAlign w:val="baseline"/>
                <w:lang w:val="en-US" w:eastAsia="zh-CN"/>
              </w:rPr>
              <w:t>GB 4706.23-2007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jc w:val="center"/>
        </w:trPr>
        <w:tc>
          <w:tcPr>
            <w:tcW w:w="70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eastAsia="宋体"/>
                <w:vertAlign w:val="baseline"/>
                <w:lang w:val="en-US" w:eastAsia="zh-CN"/>
              </w:rPr>
            </w:pPr>
            <w:r>
              <w:rPr>
                <w:rFonts w:hint="eastAsia"/>
                <w:vertAlign w:val="baseline"/>
                <w:lang w:val="en-US" w:eastAsia="zh-CN"/>
              </w:rPr>
              <w:t>2</w:t>
            </w:r>
          </w:p>
        </w:tc>
        <w:tc>
          <w:tcPr>
            <w:tcW w:w="3405"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vertAlign w:val="baseline"/>
              </w:rPr>
            </w:pPr>
            <w:r>
              <w:rPr>
                <w:rFonts w:hint="eastAsia"/>
              </w:rPr>
              <w:t>输入功率和电流</w:t>
            </w:r>
          </w:p>
        </w:tc>
        <w:tc>
          <w:tcPr>
            <w:tcW w:w="2666"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firstLine="0" w:firstLineChars="0"/>
              <w:jc w:val="center"/>
              <w:textAlignment w:val="auto"/>
              <w:rPr>
                <w:rFonts w:hint="eastAsia"/>
                <w:vertAlign w:val="baseline"/>
              </w:rPr>
            </w:pPr>
          </w:p>
        </w:tc>
        <w:tc>
          <w:tcPr>
            <w:tcW w:w="225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eastAsia="宋体"/>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3" w:hRule="atLeast"/>
          <w:jc w:val="center"/>
        </w:trPr>
        <w:tc>
          <w:tcPr>
            <w:tcW w:w="70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eastAsia="宋体"/>
                <w:vertAlign w:val="baseline"/>
                <w:lang w:val="en-US" w:eastAsia="zh-CN"/>
              </w:rPr>
            </w:pPr>
            <w:r>
              <w:rPr>
                <w:rFonts w:hint="eastAsia"/>
                <w:vertAlign w:val="baseline"/>
                <w:lang w:val="en-US" w:eastAsia="zh-CN"/>
              </w:rPr>
              <w:t>3</w:t>
            </w:r>
          </w:p>
        </w:tc>
        <w:tc>
          <w:tcPr>
            <w:tcW w:w="3405"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vertAlign w:val="baseline"/>
              </w:rPr>
            </w:pPr>
            <w:r>
              <w:rPr>
                <w:rFonts w:hint="eastAsia"/>
              </w:rPr>
              <w:t>发热</w:t>
            </w:r>
          </w:p>
        </w:tc>
        <w:tc>
          <w:tcPr>
            <w:tcW w:w="2666"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firstLine="0" w:firstLineChars="0"/>
              <w:jc w:val="center"/>
              <w:textAlignment w:val="auto"/>
              <w:rPr>
                <w:rFonts w:hint="eastAsia"/>
                <w:vertAlign w:val="baseline"/>
              </w:rPr>
            </w:pPr>
          </w:p>
        </w:tc>
        <w:tc>
          <w:tcPr>
            <w:tcW w:w="225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eastAsia="宋体"/>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jc w:val="center"/>
        </w:trPr>
        <w:tc>
          <w:tcPr>
            <w:tcW w:w="70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eastAsia="宋体"/>
                <w:vertAlign w:val="baseline"/>
                <w:lang w:val="en-US" w:eastAsia="zh-CN"/>
              </w:rPr>
            </w:pPr>
            <w:r>
              <w:rPr>
                <w:rFonts w:hint="eastAsia"/>
                <w:vertAlign w:val="baseline"/>
                <w:lang w:val="en-US" w:eastAsia="zh-CN"/>
              </w:rPr>
              <w:t>4</w:t>
            </w:r>
          </w:p>
        </w:tc>
        <w:tc>
          <w:tcPr>
            <w:tcW w:w="3405"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vertAlign w:val="baseline"/>
              </w:rPr>
            </w:pPr>
            <w:r>
              <w:rPr>
                <w:rFonts w:hint="eastAsia"/>
                <w:lang w:eastAsia="zh-CN"/>
              </w:rPr>
              <w:t>工</w:t>
            </w:r>
            <w:r>
              <w:rPr>
                <w:rFonts w:hint="eastAsia"/>
              </w:rPr>
              <w:t>作温度下的泄漏电流和电气强度</w:t>
            </w:r>
          </w:p>
        </w:tc>
        <w:tc>
          <w:tcPr>
            <w:tcW w:w="2666"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firstLine="0" w:firstLineChars="0"/>
              <w:jc w:val="center"/>
              <w:textAlignment w:val="auto"/>
              <w:rPr>
                <w:rFonts w:hint="eastAsia"/>
                <w:vertAlign w:val="baseline"/>
              </w:rPr>
            </w:pPr>
          </w:p>
        </w:tc>
        <w:tc>
          <w:tcPr>
            <w:tcW w:w="225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eastAsia="宋体"/>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jc w:val="center"/>
        </w:trPr>
        <w:tc>
          <w:tcPr>
            <w:tcW w:w="70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vertAlign w:val="baseline"/>
                <w:lang w:val="en-US" w:eastAsia="zh-CN"/>
              </w:rPr>
            </w:pPr>
            <w:r>
              <w:rPr>
                <w:rFonts w:hint="eastAsia"/>
                <w:vertAlign w:val="baseline"/>
                <w:lang w:val="en-US" w:eastAsia="zh-CN"/>
              </w:rPr>
              <w:t>5</w:t>
            </w:r>
          </w:p>
        </w:tc>
        <w:tc>
          <w:tcPr>
            <w:tcW w:w="3405"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rPr>
            </w:pPr>
            <w:r>
              <w:rPr>
                <w:rFonts w:hint="eastAsia"/>
              </w:rPr>
              <w:t>耐潮湿</w:t>
            </w:r>
          </w:p>
        </w:tc>
        <w:tc>
          <w:tcPr>
            <w:tcW w:w="2666"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firstLine="0" w:firstLineChars="0"/>
              <w:jc w:val="center"/>
              <w:textAlignment w:val="auto"/>
              <w:rPr>
                <w:rFonts w:hint="eastAsia"/>
                <w:vertAlign w:val="baseline"/>
              </w:rPr>
            </w:pPr>
          </w:p>
        </w:tc>
        <w:tc>
          <w:tcPr>
            <w:tcW w:w="225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jc w:val="center"/>
        </w:trPr>
        <w:tc>
          <w:tcPr>
            <w:tcW w:w="70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vertAlign w:val="baseline"/>
                <w:lang w:val="en-US" w:eastAsia="zh-CN"/>
              </w:rPr>
            </w:pPr>
            <w:r>
              <w:rPr>
                <w:rFonts w:hint="eastAsia"/>
                <w:vertAlign w:val="baseline"/>
                <w:lang w:val="en-US" w:eastAsia="zh-CN"/>
              </w:rPr>
              <w:t>6</w:t>
            </w:r>
          </w:p>
        </w:tc>
        <w:tc>
          <w:tcPr>
            <w:tcW w:w="3405"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rPr>
            </w:pPr>
            <w:r>
              <w:rPr>
                <w:rFonts w:hint="eastAsia"/>
              </w:rPr>
              <w:t>泄漏电流和电气强度</w:t>
            </w:r>
          </w:p>
        </w:tc>
        <w:tc>
          <w:tcPr>
            <w:tcW w:w="2666"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firstLine="0" w:firstLineChars="0"/>
              <w:jc w:val="center"/>
              <w:textAlignment w:val="auto"/>
              <w:rPr>
                <w:rFonts w:hint="eastAsia"/>
                <w:vertAlign w:val="baseline"/>
                <w:lang w:val="en-US" w:eastAsia="zh-CN"/>
              </w:rPr>
            </w:pPr>
          </w:p>
        </w:tc>
        <w:tc>
          <w:tcPr>
            <w:tcW w:w="225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7" w:hRule="atLeast"/>
          <w:jc w:val="center"/>
        </w:trPr>
        <w:tc>
          <w:tcPr>
            <w:tcW w:w="70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vertAlign w:val="baseline"/>
                <w:lang w:val="en-US" w:eastAsia="zh-CN"/>
              </w:rPr>
            </w:pPr>
            <w:r>
              <w:rPr>
                <w:rFonts w:hint="eastAsia"/>
                <w:vertAlign w:val="baseline"/>
                <w:lang w:val="en-US" w:eastAsia="zh-CN"/>
              </w:rPr>
              <w:t>7</w:t>
            </w:r>
          </w:p>
        </w:tc>
        <w:tc>
          <w:tcPr>
            <w:tcW w:w="3405"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rPr>
            </w:pPr>
            <w:r>
              <w:rPr>
                <w:rFonts w:hint="eastAsia"/>
              </w:rPr>
              <w:t>非正常</w:t>
            </w:r>
            <w:r>
              <w:rPr>
                <w:rFonts w:hint="eastAsia"/>
                <w:lang w:eastAsia="zh-CN"/>
              </w:rPr>
              <w:t>工</w:t>
            </w:r>
            <w:r>
              <w:rPr>
                <w:rFonts w:hint="eastAsia"/>
              </w:rPr>
              <w:t>作（不包括第19. 11.</w:t>
            </w:r>
            <w:r>
              <w:rPr>
                <w:rFonts w:hint="eastAsia"/>
                <w:lang w:val="en-US" w:eastAsia="zh-CN"/>
              </w:rPr>
              <w:t>4</w:t>
            </w:r>
            <w:r>
              <w:rPr>
                <w:rFonts w:hint="eastAsia"/>
              </w:rPr>
              <w:t>条的试验）</w:t>
            </w:r>
          </w:p>
        </w:tc>
        <w:tc>
          <w:tcPr>
            <w:tcW w:w="2666"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firstLine="0" w:firstLineChars="0"/>
              <w:jc w:val="center"/>
              <w:textAlignment w:val="auto"/>
              <w:rPr>
                <w:rFonts w:hint="eastAsia"/>
                <w:vertAlign w:val="baseline"/>
              </w:rPr>
            </w:pPr>
          </w:p>
        </w:tc>
        <w:tc>
          <w:tcPr>
            <w:tcW w:w="225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jc w:val="center"/>
        </w:trPr>
        <w:tc>
          <w:tcPr>
            <w:tcW w:w="70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vertAlign w:val="baseline"/>
                <w:lang w:val="en-US" w:eastAsia="zh-CN"/>
              </w:rPr>
            </w:pPr>
            <w:r>
              <w:rPr>
                <w:rFonts w:hint="eastAsia"/>
                <w:vertAlign w:val="baseline"/>
                <w:lang w:val="en-US" w:eastAsia="zh-CN"/>
              </w:rPr>
              <w:t>8</w:t>
            </w:r>
          </w:p>
        </w:tc>
        <w:tc>
          <w:tcPr>
            <w:tcW w:w="3405"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eastAsia="宋体"/>
                <w:lang w:eastAsia="zh-CN"/>
              </w:rPr>
            </w:pPr>
            <w:r>
              <w:rPr>
                <w:rFonts w:hint="eastAsia"/>
                <w:lang w:eastAsia="zh-CN"/>
              </w:rPr>
              <w:t>稳定性和机械危险</w:t>
            </w:r>
          </w:p>
        </w:tc>
        <w:tc>
          <w:tcPr>
            <w:tcW w:w="2666"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firstLine="0" w:firstLineChars="0"/>
              <w:jc w:val="center"/>
              <w:textAlignment w:val="auto"/>
              <w:rPr>
                <w:rFonts w:hint="eastAsia"/>
                <w:vertAlign w:val="baseline"/>
              </w:rPr>
            </w:pPr>
          </w:p>
        </w:tc>
        <w:tc>
          <w:tcPr>
            <w:tcW w:w="225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jc w:val="center"/>
        </w:trPr>
        <w:tc>
          <w:tcPr>
            <w:tcW w:w="70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vertAlign w:val="baseline"/>
                <w:lang w:val="en-US" w:eastAsia="zh-CN"/>
              </w:rPr>
            </w:pPr>
            <w:r>
              <w:rPr>
                <w:rFonts w:hint="eastAsia"/>
                <w:vertAlign w:val="baseline"/>
                <w:lang w:val="en-US" w:eastAsia="zh-CN"/>
              </w:rPr>
              <w:t>9</w:t>
            </w:r>
          </w:p>
        </w:tc>
        <w:tc>
          <w:tcPr>
            <w:tcW w:w="3405"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rPr>
            </w:pPr>
            <w:r>
              <w:rPr>
                <w:rFonts w:hint="eastAsia"/>
              </w:rPr>
              <w:t>机械强度</w:t>
            </w:r>
          </w:p>
        </w:tc>
        <w:tc>
          <w:tcPr>
            <w:tcW w:w="2666"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firstLine="0" w:firstLineChars="0"/>
              <w:jc w:val="center"/>
              <w:textAlignment w:val="auto"/>
              <w:rPr>
                <w:rFonts w:hint="eastAsia"/>
                <w:vertAlign w:val="baseline"/>
              </w:rPr>
            </w:pPr>
          </w:p>
        </w:tc>
        <w:tc>
          <w:tcPr>
            <w:tcW w:w="225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jc w:val="center"/>
        </w:trPr>
        <w:tc>
          <w:tcPr>
            <w:tcW w:w="70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vertAlign w:val="baseline"/>
                <w:lang w:val="en-US" w:eastAsia="zh-CN"/>
              </w:rPr>
            </w:pPr>
            <w:r>
              <w:rPr>
                <w:rFonts w:hint="eastAsia"/>
                <w:vertAlign w:val="baseline"/>
                <w:lang w:val="en-US" w:eastAsia="zh-CN"/>
              </w:rPr>
              <w:t>10</w:t>
            </w:r>
          </w:p>
        </w:tc>
        <w:tc>
          <w:tcPr>
            <w:tcW w:w="3405"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rPr>
            </w:pPr>
            <w:r>
              <w:rPr>
                <w:rFonts w:hint="eastAsia"/>
              </w:rPr>
              <w:t>结构</w:t>
            </w:r>
            <w:r>
              <w:rPr>
                <w:rFonts w:hint="eastAsia"/>
                <w:lang w:eastAsia="zh-CN"/>
              </w:rPr>
              <w:t>（</w:t>
            </w:r>
            <w:r>
              <w:rPr>
                <w:rFonts w:hint="eastAsia" w:ascii="Times New Roman" w:hAnsi="Times New Roman"/>
              </w:rPr>
              <w:t>不包括第22.46条的试验</w:t>
            </w:r>
            <w:r>
              <w:rPr>
                <w:rFonts w:hint="eastAsia" w:ascii="Times New Roman" w:hAnsi="Times New Roman"/>
                <w:lang w:eastAsia="zh-CN"/>
              </w:rPr>
              <w:t>）</w:t>
            </w:r>
          </w:p>
        </w:tc>
        <w:tc>
          <w:tcPr>
            <w:tcW w:w="2666"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firstLine="0" w:firstLineChars="0"/>
              <w:jc w:val="center"/>
              <w:textAlignment w:val="auto"/>
              <w:rPr>
                <w:rFonts w:hint="eastAsia"/>
                <w:vertAlign w:val="baseline"/>
              </w:rPr>
            </w:pPr>
          </w:p>
        </w:tc>
        <w:tc>
          <w:tcPr>
            <w:tcW w:w="225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jc w:val="center"/>
        </w:trPr>
        <w:tc>
          <w:tcPr>
            <w:tcW w:w="70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vertAlign w:val="baseline"/>
                <w:lang w:val="en-US" w:eastAsia="zh-CN"/>
              </w:rPr>
            </w:pPr>
            <w:r>
              <w:rPr>
                <w:rFonts w:hint="eastAsia"/>
                <w:vertAlign w:val="baseline"/>
                <w:lang w:val="en-US" w:eastAsia="zh-CN"/>
              </w:rPr>
              <w:t>11</w:t>
            </w:r>
          </w:p>
        </w:tc>
        <w:tc>
          <w:tcPr>
            <w:tcW w:w="3405"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rPr>
            </w:pPr>
            <w:r>
              <w:rPr>
                <w:rFonts w:hint="eastAsia"/>
              </w:rPr>
              <w:t>内部布线</w:t>
            </w:r>
          </w:p>
        </w:tc>
        <w:tc>
          <w:tcPr>
            <w:tcW w:w="2666"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firstLine="0" w:firstLineChars="0"/>
              <w:jc w:val="center"/>
              <w:textAlignment w:val="auto"/>
              <w:rPr>
                <w:rFonts w:hint="eastAsia"/>
                <w:vertAlign w:val="baseline"/>
              </w:rPr>
            </w:pPr>
          </w:p>
        </w:tc>
        <w:tc>
          <w:tcPr>
            <w:tcW w:w="225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jc w:val="center"/>
        </w:trPr>
        <w:tc>
          <w:tcPr>
            <w:tcW w:w="70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vertAlign w:val="baseline"/>
                <w:lang w:val="en-US" w:eastAsia="zh-CN"/>
              </w:rPr>
            </w:pPr>
            <w:r>
              <w:rPr>
                <w:rFonts w:hint="eastAsia"/>
                <w:vertAlign w:val="baseline"/>
                <w:lang w:val="en-US" w:eastAsia="zh-CN"/>
              </w:rPr>
              <w:t>12</w:t>
            </w:r>
          </w:p>
        </w:tc>
        <w:tc>
          <w:tcPr>
            <w:tcW w:w="3405"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rPr>
            </w:pPr>
            <w:r>
              <w:rPr>
                <w:rFonts w:hint="eastAsia"/>
              </w:rPr>
              <w:t>电源连接和外部软线</w:t>
            </w:r>
          </w:p>
        </w:tc>
        <w:tc>
          <w:tcPr>
            <w:tcW w:w="2666"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firstLine="0" w:firstLineChars="0"/>
              <w:jc w:val="center"/>
              <w:textAlignment w:val="auto"/>
              <w:rPr>
                <w:rFonts w:hint="eastAsia"/>
                <w:vertAlign w:val="baseline"/>
              </w:rPr>
            </w:pPr>
          </w:p>
        </w:tc>
        <w:tc>
          <w:tcPr>
            <w:tcW w:w="225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jc w:val="center"/>
        </w:trPr>
        <w:tc>
          <w:tcPr>
            <w:tcW w:w="70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vertAlign w:val="baseline"/>
                <w:lang w:val="en-US" w:eastAsia="zh-CN"/>
              </w:rPr>
            </w:pPr>
            <w:r>
              <w:rPr>
                <w:rFonts w:hint="eastAsia"/>
                <w:vertAlign w:val="baseline"/>
                <w:lang w:val="en-US" w:eastAsia="zh-CN"/>
              </w:rPr>
              <w:t>13</w:t>
            </w:r>
          </w:p>
        </w:tc>
        <w:tc>
          <w:tcPr>
            <w:tcW w:w="3405"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rPr>
            </w:pPr>
            <w:r>
              <w:rPr>
                <w:rFonts w:hint="eastAsia"/>
              </w:rPr>
              <w:t>外部导线用接线端子</w:t>
            </w:r>
          </w:p>
        </w:tc>
        <w:tc>
          <w:tcPr>
            <w:tcW w:w="2666"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firstLine="0" w:firstLineChars="0"/>
              <w:jc w:val="center"/>
              <w:textAlignment w:val="auto"/>
              <w:rPr>
                <w:rFonts w:hint="eastAsia"/>
                <w:vertAlign w:val="baseline"/>
              </w:rPr>
            </w:pPr>
          </w:p>
        </w:tc>
        <w:tc>
          <w:tcPr>
            <w:tcW w:w="225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jc w:val="center"/>
        </w:trPr>
        <w:tc>
          <w:tcPr>
            <w:tcW w:w="70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vertAlign w:val="baseline"/>
                <w:lang w:val="en-US" w:eastAsia="zh-CN"/>
              </w:rPr>
            </w:pPr>
            <w:r>
              <w:rPr>
                <w:rFonts w:hint="eastAsia"/>
                <w:vertAlign w:val="baseline"/>
                <w:lang w:val="en-US" w:eastAsia="zh-CN"/>
              </w:rPr>
              <w:t>14</w:t>
            </w:r>
          </w:p>
        </w:tc>
        <w:tc>
          <w:tcPr>
            <w:tcW w:w="3405"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rPr>
            </w:pPr>
            <w:r>
              <w:rPr>
                <w:rFonts w:hint="eastAsia"/>
              </w:rPr>
              <w:t>接地措施</w:t>
            </w:r>
          </w:p>
        </w:tc>
        <w:tc>
          <w:tcPr>
            <w:tcW w:w="2666"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firstLine="0" w:firstLineChars="0"/>
              <w:jc w:val="center"/>
              <w:textAlignment w:val="auto"/>
              <w:rPr>
                <w:rFonts w:hint="eastAsia"/>
                <w:vertAlign w:val="baseline"/>
              </w:rPr>
            </w:pPr>
          </w:p>
        </w:tc>
        <w:tc>
          <w:tcPr>
            <w:tcW w:w="225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jc w:val="center"/>
        </w:trPr>
        <w:tc>
          <w:tcPr>
            <w:tcW w:w="70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vertAlign w:val="baseline"/>
                <w:lang w:val="en-US" w:eastAsia="zh-CN"/>
              </w:rPr>
            </w:pPr>
            <w:r>
              <w:rPr>
                <w:rFonts w:hint="eastAsia"/>
                <w:vertAlign w:val="baseline"/>
                <w:lang w:val="en-US" w:eastAsia="zh-CN"/>
              </w:rPr>
              <w:t>15</w:t>
            </w:r>
          </w:p>
        </w:tc>
        <w:tc>
          <w:tcPr>
            <w:tcW w:w="3405"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rPr>
            </w:pPr>
            <w:r>
              <w:rPr>
                <w:rFonts w:hint="eastAsia"/>
              </w:rPr>
              <w:t>螺钉和连接</w:t>
            </w:r>
          </w:p>
        </w:tc>
        <w:tc>
          <w:tcPr>
            <w:tcW w:w="2666"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firstLine="0" w:firstLineChars="0"/>
              <w:jc w:val="center"/>
              <w:textAlignment w:val="auto"/>
              <w:rPr>
                <w:rFonts w:hint="eastAsia"/>
                <w:vertAlign w:val="baseline"/>
              </w:rPr>
            </w:pPr>
          </w:p>
        </w:tc>
        <w:tc>
          <w:tcPr>
            <w:tcW w:w="225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jc w:val="center"/>
        </w:trPr>
        <w:tc>
          <w:tcPr>
            <w:tcW w:w="70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vertAlign w:val="baseline"/>
                <w:lang w:val="en-US" w:eastAsia="zh-CN"/>
              </w:rPr>
            </w:pPr>
            <w:r>
              <w:rPr>
                <w:rFonts w:hint="eastAsia"/>
                <w:vertAlign w:val="baseline"/>
                <w:lang w:val="en-US" w:eastAsia="zh-CN"/>
              </w:rPr>
              <w:t>16</w:t>
            </w:r>
          </w:p>
        </w:tc>
        <w:tc>
          <w:tcPr>
            <w:tcW w:w="3405"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rPr>
            </w:pPr>
            <w:r>
              <w:rPr>
                <w:rFonts w:hint="eastAsia"/>
              </w:rPr>
              <w:t>电气间隙、爬电距离和</w:t>
            </w:r>
            <w:r>
              <w:rPr>
                <w:rFonts w:hint="eastAsia"/>
                <w:lang w:eastAsia="zh-CN"/>
              </w:rPr>
              <w:t>固</w:t>
            </w:r>
            <w:r>
              <w:rPr>
                <w:rFonts w:hint="eastAsia"/>
              </w:rPr>
              <w:t>体绝缘</w:t>
            </w:r>
          </w:p>
        </w:tc>
        <w:tc>
          <w:tcPr>
            <w:tcW w:w="2666"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firstLine="0" w:firstLineChars="0"/>
              <w:jc w:val="center"/>
              <w:textAlignment w:val="auto"/>
              <w:rPr>
                <w:rFonts w:hint="eastAsia"/>
                <w:vertAlign w:val="baseline"/>
              </w:rPr>
            </w:pPr>
          </w:p>
        </w:tc>
        <w:tc>
          <w:tcPr>
            <w:tcW w:w="225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jc w:val="center"/>
        </w:trPr>
        <w:tc>
          <w:tcPr>
            <w:tcW w:w="70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vertAlign w:val="baseline"/>
                <w:lang w:val="en-US" w:eastAsia="zh-CN"/>
              </w:rPr>
            </w:pPr>
            <w:r>
              <w:rPr>
                <w:rFonts w:hint="eastAsia"/>
                <w:vertAlign w:val="baseline"/>
                <w:lang w:val="en-US" w:eastAsia="zh-CN"/>
              </w:rPr>
              <w:t>17</w:t>
            </w:r>
          </w:p>
        </w:tc>
        <w:tc>
          <w:tcPr>
            <w:tcW w:w="3405"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rPr>
            </w:pPr>
            <w:r>
              <w:rPr>
                <w:rFonts w:hint="default" w:ascii="Times New Roman" w:hAnsi="Times New Roman" w:eastAsia="宋体" w:cs="Times New Roman"/>
                <w:kern w:val="0"/>
                <w:sz w:val="21"/>
                <w:szCs w:val="21"/>
              </w:rPr>
              <w:t>耐热和耐燃</w:t>
            </w:r>
          </w:p>
        </w:tc>
        <w:tc>
          <w:tcPr>
            <w:tcW w:w="2666"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firstLine="0" w:firstLineChars="0"/>
              <w:jc w:val="center"/>
              <w:textAlignment w:val="auto"/>
              <w:rPr>
                <w:rFonts w:hint="eastAsia"/>
                <w:vertAlign w:val="baseline"/>
              </w:rPr>
            </w:pPr>
          </w:p>
        </w:tc>
        <w:tc>
          <w:tcPr>
            <w:tcW w:w="225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jc w:val="center"/>
        </w:trPr>
        <w:tc>
          <w:tcPr>
            <w:tcW w:w="70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vertAlign w:val="baseline"/>
                <w:lang w:val="en-US" w:eastAsia="zh-CN"/>
              </w:rPr>
            </w:pPr>
            <w:r>
              <w:rPr>
                <w:rFonts w:hint="eastAsia"/>
                <w:vertAlign w:val="baseline"/>
                <w:lang w:val="en-US" w:eastAsia="zh-CN"/>
              </w:rPr>
              <w:t>18</w:t>
            </w:r>
          </w:p>
        </w:tc>
        <w:tc>
          <w:tcPr>
            <w:tcW w:w="3405" w:type="dxa"/>
            <w:vAlign w:val="center"/>
          </w:tcPr>
          <w:p>
            <w:pPr>
              <w:keepNext w:val="0"/>
              <w:keepLines w:val="0"/>
              <w:pageBreakBefore w:val="0"/>
              <w:widowControl/>
              <w:kinsoku/>
              <w:wordWrap/>
              <w:overflowPunct/>
              <w:topLinePunct w:val="0"/>
              <w:autoSpaceDE/>
              <w:autoSpaceDN/>
              <w:bidi w:val="0"/>
              <w:adjustRightInd/>
              <w:snapToGrid/>
              <w:spacing w:line="360" w:lineRule="auto"/>
              <w:ind w:right="0" w:rightChars="0" w:firstLine="0" w:firstLineChars="0"/>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lang w:eastAsia="zh-CN"/>
              </w:rPr>
              <w:t>连续</w:t>
            </w:r>
            <w:r>
              <w:rPr>
                <w:rFonts w:hint="default" w:ascii="Times New Roman" w:hAnsi="Times New Roman" w:eastAsia="宋体" w:cs="Times New Roman"/>
                <w:kern w:val="0"/>
                <w:sz w:val="21"/>
                <w:szCs w:val="21"/>
              </w:rPr>
              <w:t>骚扰电压</w:t>
            </w:r>
          </w:p>
        </w:tc>
        <w:tc>
          <w:tcPr>
            <w:tcW w:w="2666" w:type="dxa"/>
            <w:vAlign w:val="center"/>
          </w:tcPr>
          <w:p>
            <w:pPr>
              <w:keepNext w:val="0"/>
              <w:keepLines w:val="0"/>
              <w:pageBreakBefore w:val="0"/>
              <w:kinsoku/>
              <w:wordWrap/>
              <w:overflowPunct/>
              <w:topLinePunct w:val="0"/>
              <w:autoSpaceDE/>
              <w:autoSpaceDN/>
              <w:bidi w:val="0"/>
              <w:adjustRightInd/>
              <w:snapToGrid/>
              <w:spacing w:line="360" w:lineRule="auto"/>
              <w:ind w:right="0" w:rightChars="0" w:firstLine="0" w:firstLineChars="0"/>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GB 4343.1-2018</w:t>
            </w:r>
          </w:p>
          <w:p>
            <w:pPr>
              <w:keepNext w:val="0"/>
              <w:keepLines w:val="0"/>
              <w:pageBreakBefore w:val="0"/>
              <w:widowControl/>
              <w:kinsoku/>
              <w:wordWrap/>
              <w:overflowPunct/>
              <w:topLinePunct w:val="0"/>
              <w:autoSpaceDE/>
              <w:autoSpaceDN/>
              <w:bidi w:val="0"/>
              <w:adjustRightInd/>
              <w:snapToGrid/>
              <w:spacing w:line="360" w:lineRule="auto"/>
              <w:ind w:right="0" w:rightChars="0" w:firstLine="0" w:firstLineChars="0"/>
              <w:jc w:val="center"/>
              <w:textAlignment w:val="auto"/>
              <w:rPr>
                <w:rFonts w:hint="eastAsia"/>
                <w:vertAlign w:val="baseline"/>
              </w:rPr>
            </w:pPr>
            <w:r>
              <w:rPr>
                <w:rFonts w:hint="default" w:ascii="Times New Roman" w:hAnsi="Times New Roman" w:cs="Times New Roman"/>
                <w:color w:val="000000"/>
                <w:szCs w:val="21"/>
              </w:rPr>
              <w:t>（或GB 4343.1-2009）</w:t>
            </w:r>
          </w:p>
        </w:tc>
        <w:tc>
          <w:tcPr>
            <w:tcW w:w="2259" w:type="dxa"/>
            <w:vAlign w:val="center"/>
          </w:tcPr>
          <w:p>
            <w:pPr>
              <w:keepNext w:val="0"/>
              <w:keepLines w:val="0"/>
              <w:pageBreakBefore w:val="0"/>
              <w:kinsoku/>
              <w:wordWrap/>
              <w:overflowPunct/>
              <w:topLinePunct w:val="0"/>
              <w:autoSpaceDE/>
              <w:autoSpaceDN/>
              <w:bidi w:val="0"/>
              <w:adjustRightInd/>
              <w:snapToGrid/>
              <w:spacing w:line="360" w:lineRule="auto"/>
              <w:ind w:right="0" w:rightChars="0" w:firstLine="0" w:firstLineChars="0"/>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GB 4343.1-2018</w:t>
            </w:r>
          </w:p>
          <w:p>
            <w:pPr>
              <w:keepNext w:val="0"/>
              <w:keepLines w:val="0"/>
              <w:pageBreakBefore w:val="0"/>
              <w:widowControl/>
              <w:kinsoku/>
              <w:wordWrap/>
              <w:overflowPunct/>
              <w:topLinePunct w:val="0"/>
              <w:autoSpaceDE/>
              <w:autoSpaceDN/>
              <w:bidi w:val="0"/>
              <w:adjustRightInd/>
              <w:snapToGrid/>
              <w:spacing w:line="360" w:lineRule="auto"/>
              <w:ind w:right="0" w:rightChars="0" w:firstLine="0" w:firstLineChars="0"/>
              <w:jc w:val="center"/>
              <w:textAlignment w:val="auto"/>
              <w:rPr>
                <w:rFonts w:hint="eastAsia"/>
                <w:vertAlign w:val="baseline"/>
                <w:lang w:val="en-US" w:eastAsia="zh-CN"/>
              </w:rPr>
            </w:pPr>
            <w:r>
              <w:rPr>
                <w:rFonts w:hint="default" w:ascii="Times New Roman" w:hAnsi="Times New Roman" w:cs="Times New Roman"/>
                <w:color w:val="000000"/>
                <w:szCs w:val="21"/>
              </w:rPr>
              <w:t>（或GB 4343.1-2009）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jc w:val="center"/>
        </w:trPr>
        <w:tc>
          <w:tcPr>
            <w:tcW w:w="70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vertAlign w:val="baseline"/>
                <w:lang w:val="en-US" w:eastAsia="zh-CN"/>
              </w:rPr>
            </w:pPr>
            <w:r>
              <w:rPr>
                <w:rFonts w:hint="eastAsia"/>
                <w:vertAlign w:val="baseline"/>
                <w:lang w:val="en-US" w:eastAsia="zh-CN"/>
              </w:rPr>
              <w:t>19</w:t>
            </w:r>
          </w:p>
        </w:tc>
        <w:tc>
          <w:tcPr>
            <w:tcW w:w="3405" w:type="dxa"/>
            <w:vAlign w:val="center"/>
          </w:tcPr>
          <w:p>
            <w:pPr>
              <w:keepNext w:val="0"/>
              <w:keepLines w:val="0"/>
              <w:pageBreakBefore w:val="0"/>
              <w:kinsoku/>
              <w:wordWrap/>
              <w:overflowPunct/>
              <w:topLinePunct w:val="0"/>
              <w:autoSpaceDE/>
              <w:autoSpaceDN/>
              <w:bidi w:val="0"/>
              <w:adjustRightInd/>
              <w:snapToGrid/>
              <w:spacing w:line="360" w:lineRule="auto"/>
              <w:ind w:right="0" w:rightChars="0" w:firstLine="0" w:firstLineChars="0"/>
              <w:jc w:val="left"/>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骚扰功率、辐射骚扰</w:t>
            </w:r>
          </w:p>
          <w:p>
            <w:pPr>
              <w:keepNext w:val="0"/>
              <w:keepLines w:val="0"/>
              <w:pageBreakBefore w:val="0"/>
              <w:widowControl/>
              <w:kinsoku/>
              <w:wordWrap/>
              <w:overflowPunct/>
              <w:topLinePunct w:val="0"/>
              <w:autoSpaceDE/>
              <w:autoSpaceDN/>
              <w:bidi w:val="0"/>
              <w:adjustRightInd/>
              <w:snapToGrid/>
              <w:spacing w:line="360" w:lineRule="auto"/>
              <w:ind w:right="0" w:rightChars="0" w:firstLine="0" w:firstLineChars="0"/>
              <w:jc w:val="left"/>
              <w:textAlignment w:val="auto"/>
              <w:rPr>
                <w:rFonts w:hint="default" w:ascii="Times New Roman" w:hAnsi="Times New Roman" w:eastAsia="宋体" w:cs="Times New Roman"/>
                <w:kern w:val="0"/>
                <w:sz w:val="21"/>
                <w:szCs w:val="21"/>
              </w:rPr>
            </w:pPr>
            <w:r>
              <w:rPr>
                <w:rFonts w:hint="default" w:ascii="Times New Roman" w:hAnsi="Times New Roman" w:cs="Times New Roman"/>
                <w:color w:val="000000"/>
                <w:szCs w:val="21"/>
              </w:rPr>
              <w:t>（或骚扰功率）</w:t>
            </w:r>
          </w:p>
        </w:tc>
        <w:tc>
          <w:tcPr>
            <w:tcW w:w="2666" w:type="dxa"/>
            <w:vAlign w:val="center"/>
          </w:tcPr>
          <w:p>
            <w:pPr>
              <w:keepNext w:val="0"/>
              <w:keepLines w:val="0"/>
              <w:pageBreakBefore w:val="0"/>
              <w:kinsoku/>
              <w:wordWrap/>
              <w:overflowPunct/>
              <w:topLinePunct w:val="0"/>
              <w:autoSpaceDE/>
              <w:autoSpaceDN/>
              <w:bidi w:val="0"/>
              <w:adjustRightInd/>
              <w:snapToGrid/>
              <w:spacing w:line="360" w:lineRule="auto"/>
              <w:ind w:right="0" w:rightChars="0" w:firstLine="0" w:firstLineChars="0"/>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GB 4343.1-2018</w:t>
            </w:r>
          </w:p>
          <w:p>
            <w:pPr>
              <w:keepNext w:val="0"/>
              <w:keepLines w:val="0"/>
              <w:pageBreakBefore w:val="0"/>
              <w:widowControl/>
              <w:kinsoku/>
              <w:wordWrap/>
              <w:overflowPunct/>
              <w:topLinePunct w:val="0"/>
              <w:autoSpaceDE/>
              <w:autoSpaceDN/>
              <w:bidi w:val="0"/>
              <w:adjustRightInd/>
              <w:snapToGrid/>
              <w:spacing w:line="360" w:lineRule="auto"/>
              <w:ind w:right="0" w:rightChars="0" w:firstLine="0" w:firstLineChars="0"/>
              <w:jc w:val="center"/>
              <w:textAlignment w:val="auto"/>
              <w:rPr>
                <w:rFonts w:hint="eastAsia"/>
                <w:vertAlign w:val="baseline"/>
              </w:rPr>
            </w:pPr>
            <w:r>
              <w:rPr>
                <w:rFonts w:hint="default" w:ascii="Times New Roman" w:hAnsi="Times New Roman" w:cs="Times New Roman"/>
                <w:color w:val="000000"/>
                <w:szCs w:val="21"/>
              </w:rPr>
              <w:t>（或GB 4343.1-2009）</w:t>
            </w:r>
          </w:p>
        </w:tc>
        <w:tc>
          <w:tcPr>
            <w:tcW w:w="2259" w:type="dxa"/>
            <w:vAlign w:val="center"/>
          </w:tcPr>
          <w:p>
            <w:pPr>
              <w:keepNext w:val="0"/>
              <w:keepLines w:val="0"/>
              <w:pageBreakBefore w:val="0"/>
              <w:kinsoku/>
              <w:wordWrap/>
              <w:overflowPunct/>
              <w:topLinePunct w:val="0"/>
              <w:autoSpaceDE/>
              <w:autoSpaceDN/>
              <w:bidi w:val="0"/>
              <w:adjustRightInd/>
              <w:snapToGrid/>
              <w:spacing w:line="360" w:lineRule="auto"/>
              <w:ind w:right="0" w:rightChars="0" w:firstLine="0" w:firstLineChars="0"/>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GB 4343.1-2018</w:t>
            </w:r>
          </w:p>
          <w:p>
            <w:pPr>
              <w:keepNext w:val="0"/>
              <w:keepLines w:val="0"/>
              <w:pageBreakBefore w:val="0"/>
              <w:widowControl/>
              <w:kinsoku/>
              <w:wordWrap/>
              <w:overflowPunct/>
              <w:topLinePunct w:val="0"/>
              <w:autoSpaceDE/>
              <w:autoSpaceDN/>
              <w:bidi w:val="0"/>
              <w:adjustRightInd/>
              <w:snapToGrid/>
              <w:spacing w:line="360" w:lineRule="auto"/>
              <w:ind w:right="0" w:rightChars="0" w:firstLine="0" w:firstLineChars="0"/>
              <w:jc w:val="center"/>
              <w:textAlignment w:val="auto"/>
              <w:rPr>
                <w:rFonts w:hint="eastAsia"/>
                <w:vertAlign w:val="baseline"/>
                <w:lang w:val="en-US" w:eastAsia="zh-CN"/>
              </w:rPr>
            </w:pPr>
            <w:r>
              <w:rPr>
                <w:rFonts w:hint="default" w:ascii="Times New Roman" w:hAnsi="Times New Roman" w:cs="Times New Roman"/>
                <w:color w:val="000000"/>
                <w:szCs w:val="21"/>
              </w:rPr>
              <w:t>（或GB 4343.1-2009）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jc w:val="center"/>
        </w:trPr>
        <w:tc>
          <w:tcPr>
            <w:tcW w:w="70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vertAlign w:val="baseline"/>
                <w:lang w:val="en-US" w:eastAsia="zh-CN"/>
              </w:rPr>
            </w:pPr>
            <w:r>
              <w:rPr>
                <w:rFonts w:hint="eastAsia"/>
                <w:vertAlign w:val="baseline"/>
                <w:lang w:val="en-US" w:eastAsia="zh-CN"/>
              </w:rPr>
              <w:t>20</w:t>
            </w:r>
          </w:p>
        </w:tc>
        <w:tc>
          <w:tcPr>
            <w:tcW w:w="3405" w:type="dxa"/>
            <w:vAlign w:val="center"/>
          </w:tcPr>
          <w:p>
            <w:pPr>
              <w:keepNext w:val="0"/>
              <w:keepLines w:val="0"/>
              <w:pageBreakBefore w:val="0"/>
              <w:kinsoku/>
              <w:wordWrap/>
              <w:overflowPunct/>
              <w:topLinePunct w:val="0"/>
              <w:autoSpaceDE/>
              <w:autoSpaceDN/>
              <w:bidi w:val="0"/>
              <w:adjustRightInd/>
              <w:snapToGrid/>
              <w:spacing w:line="360" w:lineRule="auto"/>
              <w:ind w:right="0" w:rightChars="0" w:firstLine="0" w:firstLineChars="0"/>
              <w:jc w:val="left"/>
              <w:textAlignment w:val="auto"/>
              <w:rPr>
                <w:rFonts w:hint="default" w:ascii="Times New Roman" w:hAnsi="Times New Roman" w:eastAsia="宋体" w:cs="Times New Roman"/>
                <w:kern w:val="0"/>
                <w:sz w:val="21"/>
                <w:szCs w:val="21"/>
              </w:rPr>
            </w:pPr>
            <w:r>
              <w:rPr>
                <w:rFonts w:hint="default" w:ascii="Times New Roman" w:hAnsi="Times New Roman" w:cs="Times New Roman"/>
                <w:szCs w:val="21"/>
                <w:highlight w:val="none"/>
              </w:rPr>
              <w:t>谐波电流</w:t>
            </w:r>
          </w:p>
        </w:tc>
        <w:tc>
          <w:tcPr>
            <w:tcW w:w="2666" w:type="dxa"/>
            <w:vAlign w:val="center"/>
          </w:tcPr>
          <w:p>
            <w:pPr>
              <w:keepNext w:val="0"/>
              <w:keepLines w:val="0"/>
              <w:pageBreakBefore w:val="0"/>
              <w:kinsoku/>
              <w:wordWrap/>
              <w:overflowPunct/>
              <w:topLinePunct w:val="0"/>
              <w:autoSpaceDE/>
              <w:autoSpaceDN/>
              <w:bidi w:val="0"/>
              <w:adjustRightInd/>
              <w:snapToGrid/>
              <w:spacing w:line="360" w:lineRule="auto"/>
              <w:ind w:right="0" w:rightChars="0" w:firstLine="0" w:firstLineChars="0"/>
              <w:jc w:val="center"/>
              <w:textAlignment w:val="auto"/>
              <w:rPr>
                <w:rFonts w:hint="eastAsia"/>
                <w:vertAlign w:val="baseline"/>
              </w:rPr>
            </w:pPr>
            <w:r>
              <w:rPr>
                <w:rFonts w:hint="default" w:ascii="Times New Roman" w:hAnsi="Times New Roman" w:cs="Times New Roman"/>
                <w:szCs w:val="21"/>
                <w:highlight w:val="none"/>
              </w:rPr>
              <w:t>GB 17625.1-2012</w:t>
            </w:r>
          </w:p>
        </w:tc>
        <w:tc>
          <w:tcPr>
            <w:tcW w:w="2259" w:type="dxa"/>
            <w:vAlign w:val="center"/>
          </w:tcPr>
          <w:p>
            <w:pPr>
              <w:keepNext w:val="0"/>
              <w:keepLines w:val="0"/>
              <w:pageBreakBefore w:val="0"/>
              <w:kinsoku/>
              <w:wordWrap/>
              <w:overflowPunct/>
              <w:topLinePunct w:val="0"/>
              <w:autoSpaceDE/>
              <w:autoSpaceDN/>
              <w:bidi w:val="0"/>
              <w:adjustRightInd/>
              <w:snapToGrid/>
              <w:spacing w:line="360" w:lineRule="auto"/>
              <w:ind w:right="0" w:rightChars="0" w:firstLine="0" w:firstLineChars="0"/>
              <w:jc w:val="center"/>
              <w:textAlignment w:val="auto"/>
              <w:rPr>
                <w:rFonts w:hint="eastAsia"/>
                <w:vertAlign w:val="baseline"/>
                <w:lang w:val="en-US" w:eastAsia="zh-CN"/>
              </w:rPr>
            </w:pPr>
            <w:r>
              <w:rPr>
                <w:rFonts w:hint="default" w:ascii="Times New Roman" w:hAnsi="Times New Roman" w:cs="Times New Roman"/>
                <w:szCs w:val="21"/>
                <w:highlight w:val="none"/>
              </w:rPr>
              <w:t>GB 17625.1-2012</w:t>
            </w:r>
          </w:p>
        </w:tc>
      </w:tr>
    </w:tbl>
    <w:p>
      <w:pPr>
        <w:shd w:val="clear" w:color="auto" w:fill="auto"/>
        <w:snapToGrid w:val="0"/>
        <w:spacing w:line="440" w:lineRule="exact"/>
        <w:ind w:firstLine="420" w:firstLineChars="200"/>
        <w:rPr>
          <w:rFonts w:hint="eastAsia" w:ascii="宋体" w:hAnsi="宋体" w:eastAsia="宋体" w:cs="Times New Roman"/>
          <w:color w:val="000000"/>
          <w:spacing w:val="0"/>
          <w:w w:val="100"/>
          <w:kern w:val="2"/>
          <w:position w:val="0"/>
          <w:sz w:val="21"/>
          <w:szCs w:val="21"/>
          <w:shd w:val="clear"/>
          <w:lang w:eastAsia="zh-CN" w:bidi="ar-SA"/>
        </w:rPr>
      </w:pPr>
      <w:r>
        <w:rPr>
          <w:rFonts w:hint="eastAsia" w:ascii="宋体" w:hAnsi="宋体"/>
          <w:color w:val="000000"/>
          <w:sz w:val="21"/>
          <w:szCs w:val="21"/>
        </w:rPr>
        <w:t>凡是注日期的文件,其随后所有的修改单（不包括勘误的内容）或修订版不适用于本</w:t>
      </w:r>
      <w:r>
        <w:rPr>
          <w:rFonts w:hint="eastAsia" w:ascii="宋体" w:hAnsi="宋体"/>
          <w:color w:val="000000"/>
          <w:sz w:val="21"/>
          <w:szCs w:val="21"/>
          <w:lang w:val="zh-CN" w:eastAsia="zh-CN"/>
        </w:rPr>
        <w:t>细则。</w:t>
      </w:r>
      <w:r>
        <w:rPr>
          <w:rFonts w:hint="eastAsia" w:ascii="宋体" w:hAnsi="宋体"/>
          <w:color w:val="000000"/>
          <w:sz w:val="21"/>
          <w:szCs w:val="21"/>
        </w:rPr>
        <w:t>凡是不注日期的文件，其最新版本适用于本细则</w:t>
      </w:r>
      <w:r>
        <w:rPr>
          <w:rFonts w:hint="eastAsia" w:ascii="宋体" w:hAnsi="宋体" w:eastAsia="宋体"/>
          <w:color w:val="000000"/>
          <w:sz w:val="21"/>
          <w:szCs w:val="21"/>
          <w:lang w:eastAsia="zh-CN"/>
        </w:rPr>
        <w:t>。</w:t>
      </w:r>
    </w:p>
    <w:p>
      <w:pPr>
        <w:keepNext w:val="0"/>
        <w:keepLines w:val="0"/>
        <w:shd w:val="clear" w:color="auto" w:fill="auto"/>
        <w:bidi w:val="0"/>
        <w:adjustRightInd/>
        <w:snapToGrid/>
        <w:spacing w:before="0" w:after="0" w:line="360" w:lineRule="auto"/>
        <w:ind w:left="0" w:right="0" w:firstLine="0" w:firstLineChars="0"/>
        <w:rPr>
          <w:rFonts w:hint="eastAsia" w:ascii="黑体" w:hAnsi="黑体" w:eastAsia="黑体" w:cs="Times New Roman"/>
          <w:color w:val="000000"/>
          <w:spacing w:val="0"/>
          <w:w w:val="100"/>
          <w:kern w:val="0"/>
          <w:position w:val="0"/>
          <w:sz w:val="21"/>
          <w:szCs w:val="21"/>
          <w:shd w:val="clear" w:color="auto" w:fill="auto"/>
          <w:lang w:eastAsia="en-US" w:bidi="en-US"/>
        </w:rPr>
      </w:pPr>
      <w:r>
        <w:rPr>
          <w:rFonts w:hint="eastAsia" w:ascii="黑体" w:hAnsi="黑体" w:eastAsia="黑体" w:cs="Times New Roman"/>
          <w:color w:val="000000"/>
          <w:spacing w:val="0"/>
          <w:w w:val="100"/>
          <w:kern w:val="0"/>
          <w:position w:val="0"/>
          <w:sz w:val="21"/>
          <w:szCs w:val="21"/>
          <w:shd w:val="clear" w:color="auto" w:fill="auto"/>
          <w:lang w:eastAsia="en-US" w:bidi="en-US"/>
        </w:rPr>
        <w:t>3 判定规则</w:t>
      </w:r>
    </w:p>
    <w:p>
      <w:pPr>
        <w:keepNext w:val="0"/>
        <w:keepLines w:val="0"/>
        <w:shd w:val="clear" w:color="auto" w:fill="auto"/>
        <w:bidi w:val="0"/>
        <w:adjustRightInd/>
        <w:snapToGrid w:val="0"/>
        <w:spacing w:before="0" w:after="0" w:line="440" w:lineRule="exact"/>
        <w:ind w:left="0" w:leftChars="0" w:right="0" w:firstLine="0" w:firstLineChars="0"/>
        <w:rPr>
          <w:rFonts w:hint="eastAsia" w:ascii="宋体" w:hAnsi="宋体" w:eastAsia="Times New Roman" w:cs="Times New Roman"/>
          <w:color w:val="000000"/>
          <w:spacing w:val="0"/>
          <w:w w:val="100"/>
          <w:kern w:val="0"/>
          <w:position w:val="0"/>
          <w:sz w:val="21"/>
          <w:szCs w:val="21"/>
          <w:shd w:val="clear" w:color="auto" w:fill="auto"/>
          <w:lang w:eastAsia="en-US" w:bidi="en-US"/>
        </w:rPr>
      </w:pPr>
      <w:r>
        <w:rPr>
          <w:rFonts w:hint="eastAsia" w:ascii="宋体" w:hAnsi="宋体" w:eastAsia="Times New Roman" w:cs="Times New Roman"/>
          <w:color w:val="000000"/>
          <w:spacing w:val="0"/>
          <w:w w:val="100"/>
          <w:kern w:val="0"/>
          <w:position w:val="0"/>
          <w:sz w:val="21"/>
          <w:szCs w:val="21"/>
          <w:shd w:val="clear" w:color="auto" w:fill="auto"/>
          <w:lang w:eastAsia="en-US" w:bidi="en-US"/>
        </w:rPr>
        <w:t>3.1依据标准</w:t>
      </w:r>
    </w:p>
    <w:p>
      <w:pPr>
        <w:keepNext w:val="0"/>
        <w:keepLines w:val="0"/>
        <w:shd w:val="clear" w:color="auto" w:fill="auto"/>
        <w:bidi w:val="0"/>
        <w:adjustRightInd/>
        <w:snapToGrid w:val="0"/>
        <w:spacing w:before="0" w:after="0" w:line="440" w:lineRule="exact"/>
        <w:ind w:left="0" w:right="0" w:firstLine="420" w:firstLineChars="200"/>
        <w:rPr>
          <w:rFonts w:hint="eastAsia" w:ascii="宋体" w:hAnsi="宋体" w:eastAsia="Times New Roman" w:cs="Times New Roman"/>
          <w:color w:val="000000"/>
          <w:spacing w:val="0"/>
          <w:w w:val="100"/>
          <w:kern w:val="0"/>
          <w:position w:val="0"/>
          <w:sz w:val="21"/>
          <w:szCs w:val="21"/>
          <w:shd w:val="clear" w:color="auto" w:fill="auto"/>
          <w:lang w:eastAsia="en-US" w:bidi="en-US"/>
        </w:rPr>
      </w:pPr>
      <w:r>
        <w:rPr>
          <w:rFonts w:hint="eastAsia" w:ascii="宋体" w:hAnsi="宋体" w:eastAsia="Times New Roman" w:cs="Times New Roman"/>
          <w:color w:val="000000"/>
          <w:spacing w:val="0"/>
          <w:w w:val="100"/>
          <w:kern w:val="0"/>
          <w:position w:val="0"/>
          <w:sz w:val="21"/>
          <w:szCs w:val="21"/>
          <w:shd w:val="clear" w:color="auto" w:fill="auto"/>
          <w:lang w:eastAsia="en-US" w:bidi="en-US"/>
        </w:rPr>
        <w:t>GB 4706.1</w:t>
      </w:r>
      <w:r>
        <w:rPr>
          <w:rFonts w:hint="eastAsia" w:ascii="宋体" w:hAnsi="宋体" w:eastAsia="Times New Roman" w:cs="Times New Roman"/>
          <w:color w:val="000000"/>
          <w:spacing w:val="0"/>
          <w:w w:val="100"/>
          <w:kern w:val="0"/>
          <w:position w:val="0"/>
          <w:sz w:val="21"/>
          <w:szCs w:val="21"/>
          <w:shd w:val="clear" w:color="auto" w:fill="auto"/>
          <w:lang w:val="en-US" w:eastAsia="zh-CN" w:bidi="en-US"/>
        </w:rPr>
        <w:t>-</w:t>
      </w:r>
      <w:r>
        <w:rPr>
          <w:rFonts w:hint="eastAsia" w:ascii="宋体" w:hAnsi="宋体" w:eastAsia="Times New Roman" w:cs="Times New Roman"/>
          <w:color w:val="000000"/>
          <w:spacing w:val="0"/>
          <w:w w:val="100"/>
          <w:kern w:val="0"/>
          <w:position w:val="0"/>
          <w:sz w:val="21"/>
          <w:szCs w:val="21"/>
          <w:shd w:val="clear" w:color="auto" w:fill="auto"/>
          <w:lang w:eastAsia="en-US" w:bidi="en-US"/>
        </w:rPr>
        <w:t>2005</w:t>
      </w:r>
      <w:r>
        <w:rPr>
          <w:rFonts w:hint="eastAsia" w:ascii="宋体" w:hAnsi="宋体" w:cs="Times New Roman"/>
          <w:color w:val="000000"/>
          <w:spacing w:val="0"/>
          <w:w w:val="100"/>
          <w:kern w:val="0"/>
          <w:position w:val="0"/>
          <w:sz w:val="21"/>
          <w:szCs w:val="21"/>
          <w:shd w:val="clear" w:color="auto" w:fill="auto"/>
          <w:lang w:eastAsia="zh-CN" w:bidi="en-US"/>
        </w:rPr>
        <w:t>《</w:t>
      </w:r>
      <w:r>
        <w:rPr>
          <w:rFonts w:hint="eastAsia" w:ascii="宋体" w:hAnsi="宋体" w:eastAsia="Times New Roman" w:cs="Times New Roman"/>
          <w:color w:val="000000"/>
          <w:spacing w:val="0"/>
          <w:w w:val="100"/>
          <w:kern w:val="0"/>
          <w:position w:val="0"/>
          <w:sz w:val="21"/>
          <w:szCs w:val="21"/>
          <w:shd w:val="clear" w:color="auto" w:fill="auto"/>
          <w:lang w:eastAsia="en-US" w:bidi="en-US"/>
        </w:rPr>
        <w:t>家用和类似用途电器的安全第1部分：通用要求</w:t>
      </w:r>
      <w:r>
        <w:rPr>
          <w:rFonts w:hint="eastAsia" w:ascii="宋体" w:hAnsi="宋体" w:cs="Times New Roman"/>
          <w:color w:val="000000"/>
          <w:spacing w:val="0"/>
          <w:w w:val="100"/>
          <w:kern w:val="0"/>
          <w:position w:val="0"/>
          <w:sz w:val="21"/>
          <w:szCs w:val="21"/>
          <w:shd w:val="clear" w:color="auto" w:fill="auto"/>
          <w:lang w:eastAsia="zh-CN" w:bidi="en-US"/>
        </w:rPr>
        <w:t>》</w:t>
      </w:r>
    </w:p>
    <w:p>
      <w:pPr>
        <w:keepNext w:val="0"/>
        <w:keepLines w:val="0"/>
        <w:shd w:val="clear" w:color="auto" w:fill="auto"/>
        <w:bidi w:val="0"/>
        <w:adjustRightInd/>
        <w:snapToGrid w:val="0"/>
        <w:spacing w:before="0" w:after="0" w:line="440" w:lineRule="exact"/>
        <w:ind w:left="0" w:right="0" w:firstLine="420" w:firstLineChars="200"/>
        <w:rPr>
          <w:rFonts w:hint="eastAsia" w:ascii="宋体" w:hAnsi="宋体" w:cs="Times New Roman"/>
          <w:color w:val="000000"/>
          <w:spacing w:val="0"/>
          <w:w w:val="100"/>
          <w:kern w:val="0"/>
          <w:position w:val="0"/>
          <w:sz w:val="21"/>
          <w:szCs w:val="21"/>
          <w:shd w:val="clear" w:color="auto" w:fill="auto"/>
          <w:lang w:eastAsia="zh-CN" w:bidi="en-US"/>
        </w:rPr>
      </w:pPr>
      <w:r>
        <w:rPr>
          <w:rFonts w:hint="eastAsia" w:ascii="宋体" w:hAnsi="宋体" w:eastAsia="Times New Roman" w:cs="Times New Roman"/>
          <w:color w:val="000000"/>
          <w:spacing w:val="0"/>
          <w:w w:val="100"/>
          <w:kern w:val="0"/>
          <w:position w:val="0"/>
          <w:sz w:val="21"/>
          <w:szCs w:val="21"/>
          <w:shd w:val="clear" w:color="auto" w:fill="auto"/>
          <w:lang w:eastAsia="en-US" w:bidi="en-US"/>
        </w:rPr>
        <w:t>GB 4706.</w:t>
      </w:r>
      <w:r>
        <w:rPr>
          <w:rFonts w:hint="eastAsia" w:ascii="宋体" w:hAnsi="宋体" w:eastAsia="Times New Roman" w:cs="Times New Roman"/>
          <w:color w:val="000000"/>
          <w:spacing w:val="0"/>
          <w:w w:val="100"/>
          <w:kern w:val="0"/>
          <w:position w:val="0"/>
          <w:sz w:val="21"/>
          <w:szCs w:val="21"/>
          <w:shd w:val="clear" w:color="auto" w:fill="auto"/>
          <w:lang w:val="en-US" w:eastAsia="zh-CN" w:bidi="en-US"/>
        </w:rPr>
        <w:t>2</w:t>
      </w:r>
      <w:r>
        <w:rPr>
          <w:rFonts w:hint="eastAsia" w:ascii="宋体" w:hAnsi="宋体" w:eastAsia="Times New Roman" w:cs="Times New Roman"/>
          <w:color w:val="000000"/>
          <w:spacing w:val="0"/>
          <w:w w:val="100"/>
          <w:kern w:val="0"/>
          <w:position w:val="0"/>
          <w:sz w:val="21"/>
          <w:szCs w:val="21"/>
          <w:shd w:val="clear" w:color="auto" w:fill="auto"/>
          <w:lang w:eastAsia="en-US" w:bidi="en-US"/>
        </w:rPr>
        <w:t>3</w:t>
      </w:r>
      <w:r>
        <w:rPr>
          <w:rFonts w:hint="eastAsia" w:ascii="宋体" w:hAnsi="宋体" w:eastAsia="Times New Roman" w:cs="Times New Roman"/>
          <w:color w:val="000000"/>
          <w:spacing w:val="0"/>
          <w:w w:val="100"/>
          <w:kern w:val="0"/>
          <w:position w:val="0"/>
          <w:sz w:val="21"/>
          <w:szCs w:val="21"/>
          <w:shd w:val="clear" w:color="auto" w:fill="auto"/>
          <w:lang w:val="en-US" w:eastAsia="zh-CN" w:bidi="en-US"/>
        </w:rPr>
        <w:t>-</w:t>
      </w:r>
      <w:r>
        <w:rPr>
          <w:rFonts w:hint="eastAsia" w:ascii="宋体" w:hAnsi="宋体" w:eastAsia="Times New Roman" w:cs="Times New Roman"/>
          <w:color w:val="000000"/>
          <w:spacing w:val="0"/>
          <w:w w:val="100"/>
          <w:kern w:val="0"/>
          <w:position w:val="0"/>
          <w:sz w:val="21"/>
          <w:szCs w:val="21"/>
          <w:shd w:val="clear" w:color="auto" w:fill="auto"/>
          <w:lang w:eastAsia="en-US" w:bidi="en-US"/>
        </w:rPr>
        <w:t>200</w:t>
      </w:r>
      <w:r>
        <w:rPr>
          <w:rFonts w:hint="eastAsia" w:ascii="宋体" w:hAnsi="宋体" w:eastAsia="Times New Roman" w:cs="Times New Roman"/>
          <w:color w:val="000000"/>
          <w:spacing w:val="0"/>
          <w:w w:val="100"/>
          <w:kern w:val="0"/>
          <w:position w:val="0"/>
          <w:sz w:val="21"/>
          <w:szCs w:val="21"/>
          <w:shd w:val="clear" w:color="auto" w:fill="auto"/>
          <w:lang w:val="en-US" w:eastAsia="zh-CN" w:bidi="en-US"/>
        </w:rPr>
        <w:t>7</w:t>
      </w:r>
      <w:r>
        <w:rPr>
          <w:rFonts w:hint="eastAsia" w:ascii="宋体" w:hAnsi="宋体" w:cs="Times New Roman"/>
          <w:color w:val="000000"/>
          <w:spacing w:val="0"/>
          <w:w w:val="100"/>
          <w:kern w:val="0"/>
          <w:position w:val="0"/>
          <w:sz w:val="21"/>
          <w:szCs w:val="21"/>
          <w:shd w:val="clear" w:color="auto" w:fill="auto"/>
          <w:lang w:eastAsia="zh-CN" w:bidi="en-US"/>
        </w:rPr>
        <w:t>《</w:t>
      </w:r>
      <w:r>
        <w:rPr>
          <w:rFonts w:hint="eastAsia" w:ascii="宋体" w:hAnsi="宋体" w:eastAsia="Times New Roman" w:cs="Times New Roman"/>
          <w:color w:val="000000"/>
          <w:spacing w:val="0"/>
          <w:w w:val="100"/>
          <w:kern w:val="0"/>
          <w:position w:val="0"/>
          <w:sz w:val="21"/>
          <w:szCs w:val="21"/>
          <w:shd w:val="clear" w:color="auto" w:fill="auto"/>
          <w:lang w:eastAsia="en-US" w:bidi="en-US"/>
        </w:rPr>
        <w:t xml:space="preserve">家用和类似用途电器的安全 </w:t>
      </w:r>
      <w:r>
        <w:rPr>
          <w:rFonts w:hint="eastAsia" w:ascii="宋体" w:hAnsi="宋体" w:eastAsia="Times New Roman" w:cs="Times New Roman"/>
          <w:color w:val="000000"/>
          <w:spacing w:val="0"/>
          <w:w w:val="100"/>
          <w:kern w:val="0"/>
          <w:position w:val="0"/>
          <w:sz w:val="21"/>
          <w:szCs w:val="21"/>
          <w:shd w:val="clear" w:color="auto" w:fill="auto"/>
          <w:lang w:eastAsia="zh-CN" w:bidi="en-US"/>
        </w:rPr>
        <w:t>室内加热器</w:t>
      </w:r>
      <w:r>
        <w:rPr>
          <w:rFonts w:hint="eastAsia" w:ascii="宋体" w:hAnsi="宋体" w:eastAsia="Times New Roman" w:cs="Times New Roman"/>
          <w:color w:val="000000"/>
          <w:spacing w:val="0"/>
          <w:w w:val="100"/>
          <w:kern w:val="0"/>
          <w:position w:val="0"/>
          <w:sz w:val="21"/>
          <w:szCs w:val="21"/>
          <w:shd w:val="clear" w:color="auto" w:fill="auto"/>
          <w:lang w:eastAsia="en-US" w:bidi="en-US"/>
        </w:rPr>
        <w:t>的特殊要求</w:t>
      </w:r>
      <w:r>
        <w:rPr>
          <w:rFonts w:hint="eastAsia" w:ascii="宋体" w:hAnsi="宋体" w:cs="Times New Roman"/>
          <w:color w:val="000000"/>
          <w:spacing w:val="0"/>
          <w:w w:val="100"/>
          <w:kern w:val="0"/>
          <w:position w:val="0"/>
          <w:sz w:val="21"/>
          <w:szCs w:val="21"/>
          <w:shd w:val="clear" w:color="auto" w:fill="auto"/>
          <w:lang w:eastAsia="zh-CN" w:bidi="en-US"/>
        </w:rPr>
        <w:t>》</w:t>
      </w:r>
    </w:p>
    <w:p>
      <w:pPr>
        <w:keepNext w:val="0"/>
        <w:keepLines w:val="0"/>
        <w:shd w:val="clear" w:color="auto" w:fill="auto"/>
        <w:bidi w:val="0"/>
        <w:adjustRightInd/>
        <w:snapToGrid w:val="0"/>
        <w:spacing w:before="0" w:after="0" w:line="440" w:lineRule="exact"/>
        <w:ind w:left="0" w:right="0" w:firstLine="420" w:firstLineChars="200"/>
        <w:rPr>
          <w:rFonts w:hint="eastAsia" w:ascii="宋体" w:hAnsi="宋体" w:cs="Times New Roman"/>
          <w:color w:val="000000"/>
          <w:spacing w:val="0"/>
          <w:w w:val="100"/>
          <w:kern w:val="0"/>
          <w:position w:val="0"/>
          <w:sz w:val="21"/>
          <w:szCs w:val="21"/>
          <w:shd w:val="clear" w:color="auto" w:fill="auto"/>
          <w:lang w:eastAsia="en-US" w:bidi="en-US"/>
        </w:rPr>
      </w:pPr>
      <w:r>
        <w:rPr>
          <w:rFonts w:hint="eastAsia" w:ascii="宋体" w:hAnsi="宋体" w:cs="Times New Roman"/>
          <w:color w:val="000000"/>
          <w:spacing w:val="0"/>
          <w:w w:val="100"/>
          <w:kern w:val="0"/>
          <w:position w:val="0"/>
          <w:sz w:val="21"/>
          <w:szCs w:val="21"/>
          <w:shd w:val="clear" w:color="auto" w:fill="auto"/>
          <w:lang w:eastAsia="en-US" w:bidi="en-US"/>
        </w:rPr>
        <w:t>GB 4343.1-2009《家用电器、电动工具和类似器具的电磁兼容要求 第1部分：发射》</w:t>
      </w:r>
    </w:p>
    <w:p>
      <w:pPr>
        <w:keepNext w:val="0"/>
        <w:keepLines w:val="0"/>
        <w:shd w:val="clear" w:color="auto" w:fill="auto"/>
        <w:bidi w:val="0"/>
        <w:adjustRightInd/>
        <w:snapToGrid w:val="0"/>
        <w:spacing w:before="0" w:after="0" w:line="440" w:lineRule="exact"/>
        <w:ind w:left="0" w:right="0" w:firstLine="420" w:firstLineChars="200"/>
        <w:rPr>
          <w:rFonts w:hint="eastAsia" w:ascii="宋体" w:hAnsi="宋体" w:cs="Times New Roman"/>
          <w:color w:val="000000"/>
          <w:spacing w:val="0"/>
          <w:w w:val="100"/>
          <w:kern w:val="0"/>
          <w:position w:val="0"/>
          <w:sz w:val="21"/>
          <w:szCs w:val="21"/>
          <w:shd w:val="clear" w:color="auto" w:fill="auto"/>
          <w:lang w:eastAsia="en-US" w:bidi="en-US"/>
        </w:rPr>
      </w:pPr>
      <w:r>
        <w:rPr>
          <w:rFonts w:hint="eastAsia" w:ascii="宋体" w:hAnsi="宋体" w:cs="Times New Roman"/>
          <w:color w:val="000000"/>
          <w:spacing w:val="0"/>
          <w:w w:val="100"/>
          <w:kern w:val="0"/>
          <w:position w:val="0"/>
          <w:sz w:val="21"/>
          <w:szCs w:val="21"/>
          <w:shd w:val="clear" w:color="auto" w:fill="auto"/>
          <w:lang w:eastAsia="en-US" w:bidi="en-US"/>
        </w:rPr>
        <w:t>GB 4343.1-2018 《家用电器、电动工具和类似器具的电磁兼容要求 第1部分：发射》</w:t>
      </w:r>
    </w:p>
    <w:p>
      <w:pPr>
        <w:keepNext w:val="0"/>
        <w:keepLines w:val="0"/>
        <w:shd w:val="clear" w:color="auto" w:fill="auto"/>
        <w:bidi w:val="0"/>
        <w:adjustRightInd/>
        <w:snapToGrid w:val="0"/>
        <w:spacing w:before="0" w:after="0" w:line="440" w:lineRule="exact"/>
        <w:ind w:left="0" w:right="0" w:firstLine="420" w:firstLineChars="200"/>
        <w:rPr>
          <w:rFonts w:hint="eastAsia" w:ascii="宋体" w:hAnsi="宋体" w:cs="Times New Roman"/>
          <w:color w:val="000000"/>
          <w:spacing w:val="0"/>
          <w:w w:val="100"/>
          <w:kern w:val="0"/>
          <w:position w:val="0"/>
          <w:sz w:val="21"/>
          <w:szCs w:val="21"/>
          <w:shd w:val="clear" w:color="auto" w:fill="auto"/>
          <w:lang w:eastAsia="en-US" w:bidi="en-US"/>
        </w:rPr>
      </w:pPr>
      <w:r>
        <w:rPr>
          <w:rFonts w:hint="eastAsia" w:ascii="宋体" w:hAnsi="宋体" w:cs="Times New Roman"/>
          <w:color w:val="000000"/>
          <w:spacing w:val="0"/>
          <w:w w:val="100"/>
          <w:kern w:val="0"/>
          <w:position w:val="0"/>
          <w:sz w:val="21"/>
          <w:szCs w:val="21"/>
          <w:shd w:val="clear" w:color="auto" w:fill="auto"/>
          <w:lang w:eastAsia="en-US" w:bidi="en-US"/>
        </w:rPr>
        <w:t>GB 17625.1-2012 《电磁兼容 限值 谐波电流发射限值(设备每相输入电流≤16A)》</w:t>
      </w:r>
    </w:p>
    <w:p>
      <w:pPr>
        <w:snapToGrid w:val="0"/>
        <w:spacing w:line="440" w:lineRule="exact"/>
        <w:ind w:firstLine="420" w:firstLineChars="200"/>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相关的法律、行政法规、部门规章、规范性文件</w:t>
      </w:r>
    </w:p>
    <w:p>
      <w:pPr>
        <w:snapToGrid w:val="0"/>
        <w:spacing w:line="440" w:lineRule="exact"/>
        <w:ind w:firstLine="464" w:firstLineChars="221"/>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现行有效的企业标准、团体标准、地方标准及产品明示质量要求</w:t>
      </w:r>
    </w:p>
    <w:p>
      <w:pPr>
        <w:keepNext w:val="0"/>
        <w:keepLines w:val="0"/>
        <w:shd w:val="clear" w:color="auto" w:fill="auto"/>
        <w:bidi w:val="0"/>
        <w:adjustRightInd/>
        <w:snapToGrid w:val="0"/>
        <w:spacing w:before="0" w:after="0" w:line="440" w:lineRule="exact"/>
        <w:ind w:left="0" w:leftChars="0" w:right="0" w:firstLine="0" w:firstLineChars="0"/>
        <w:rPr>
          <w:rFonts w:hint="eastAsia" w:ascii="宋体" w:hAnsi="宋体" w:eastAsia="Times New Roman" w:cs="Times New Roman"/>
          <w:color w:val="000000"/>
          <w:spacing w:val="0"/>
          <w:w w:val="100"/>
          <w:kern w:val="0"/>
          <w:position w:val="0"/>
          <w:sz w:val="21"/>
          <w:szCs w:val="21"/>
          <w:shd w:val="clear" w:color="auto" w:fill="auto"/>
          <w:lang w:eastAsia="en-US" w:bidi="en-US"/>
        </w:rPr>
      </w:pPr>
      <w:r>
        <w:rPr>
          <w:rFonts w:hint="eastAsia" w:ascii="宋体" w:hAnsi="宋体" w:eastAsia="Times New Roman" w:cs="Times New Roman"/>
          <w:color w:val="000000"/>
          <w:spacing w:val="0"/>
          <w:w w:val="100"/>
          <w:kern w:val="0"/>
          <w:position w:val="0"/>
          <w:sz w:val="21"/>
          <w:szCs w:val="21"/>
          <w:shd w:val="clear" w:color="auto" w:fill="auto"/>
          <w:lang w:eastAsia="en-US" w:bidi="en-US"/>
        </w:rPr>
        <w:t>3.2判定原则</w:t>
      </w:r>
    </w:p>
    <w:p>
      <w:pPr>
        <w:keepNext w:val="0"/>
        <w:keepLines w:val="0"/>
        <w:shd w:val="clear" w:color="auto" w:fill="auto"/>
        <w:bidi w:val="0"/>
        <w:adjustRightInd/>
        <w:snapToGrid w:val="0"/>
        <w:spacing w:before="0" w:after="0" w:line="440" w:lineRule="exact"/>
        <w:ind w:left="0" w:right="0" w:firstLine="420" w:firstLineChars="200"/>
        <w:rPr>
          <w:rFonts w:hint="eastAsia" w:ascii="宋体" w:hAnsi="宋体" w:eastAsia="Times New Roman" w:cs="Times New Roman"/>
          <w:color w:val="000000"/>
          <w:spacing w:val="0"/>
          <w:w w:val="100"/>
          <w:kern w:val="0"/>
          <w:position w:val="0"/>
          <w:sz w:val="21"/>
          <w:szCs w:val="21"/>
          <w:shd w:val="clear" w:color="auto" w:fill="auto"/>
          <w:lang w:eastAsia="en-US" w:bidi="en-US"/>
        </w:rPr>
      </w:pPr>
      <w:r>
        <w:rPr>
          <w:rFonts w:hint="default" w:ascii="Times New Roman" w:hAnsi="Times New Roman" w:cs="Times New Roman"/>
          <w:color w:val="000000"/>
          <w:sz w:val="21"/>
          <w:szCs w:val="21"/>
        </w:rPr>
        <w:t>经检验，所检验项目全部符合标准要求，判定为被抽查产品未发现不合格</w:t>
      </w:r>
      <w:r>
        <w:rPr>
          <w:rFonts w:hint="eastAsia" w:ascii="宋体" w:hAnsi="宋体" w:eastAsia="Times New Roman" w:cs="Times New Roman"/>
          <w:color w:val="000000"/>
          <w:spacing w:val="0"/>
          <w:w w:val="100"/>
          <w:kern w:val="0"/>
          <w:position w:val="0"/>
          <w:sz w:val="21"/>
          <w:szCs w:val="21"/>
          <w:shd w:val="clear" w:color="auto" w:fill="auto"/>
          <w:lang w:eastAsia="en-US" w:bidi="en-US"/>
        </w:rPr>
        <w:t>；检验项目中任一项或一项以上不合格，判定为被抽查产品不合格。</w:t>
      </w:r>
    </w:p>
    <w:p>
      <w:pPr>
        <w:keepNext w:val="0"/>
        <w:keepLines w:val="0"/>
        <w:shd w:val="clear" w:color="auto" w:fill="auto"/>
        <w:bidi w:val="0"/>
        <w:adjustRightInd/>
        <w:snapToGrid w:val="0"/>
        <w:spacing w:before="0" w:after="0" w:line="440" w:lineRule="exact"/>
        <w:ind w:left="0" w:right="0" w:firstLine="420" w:firstLineChars="200"/>
        <w:rPr>
          <w:rFonts w:hint="eastAsia" w:ascii="宋体" w:hAnsi="宋体" w:eastAsia="Times New Roman" w:cs="Times New Roman"/>
          <w:color w:val="000000"/>
          <w:spacing w:val="0"/>
          <w:w w:val="100"/>
          <w:kern w:val="0"/>
          <w:position w:val="0"/>
          <w:sz w:val="21"/>
          <w:szCs w:val="21"/>
          <w:shd w:val="clear" w:color="auto" w:fill="auto"/>
          <w:lang w:eastAsia="en-US" w:bidi="en-US"/>
        </w:rPr>
      </w:pPr>
      <w:r>
        <w:rPr>
          <w:rFonts w:hint="eastAsia" w:ascii="宋体" w:hAnsi="宋体" w:eastAsia="Times New Roman" w:cs="Times New Roman"/>
          <w:color w:val="000000"/>
          <w:spacing w:val="0"/>
          <w:w w:val="100"/>
          <w:kern w:val="0"/>
          <w:position w:val="0"/>
          <w:sz w:val="21"/>
          <w:szCs w:val="21"/>
          <w:shd w:val="clear" w:color="auto" w:fill="auto"/>
          <w:lang w:eastAsia="en-US" w:bidi="en-US"/>
        </w:rPr>
        <w:t>若被检产品明示的质量要求高于本细则中检验项目依据的标准要求时，应按被检产品明示的质量要求判定。</w:t>
      </w:r>
    </w:p>
    <w:p>
      <w:pPr>
        <w:keepNext w:val="0"/>
        <w:keepLines w:val="0"/>
        <w:shd w:val="clear" w:color="auto" w:fill="auto"/>
        <w:bidi w:val="0"/>
        <w:adjustRightInd/>
        <w:snapToGrid w:val="0"/>
        <w:spacing w:before="0" w:after="0" w:line="440" w:lineRule="exact"/>
        <w:ind w:left="0" w:right="0" w:firstLine="420" w:firstLineChars="200"/>
        <w:rPr>
          <w:rFonts w:hint="eastAsia" w:ascii="宋体" w:hAnsi="宋体" w:eastAsia="Times New Roman" w:cs="Times New Roman"/>
          <w:color w:val="000000"/>
          <w:spacing w:val="0"/>
          <w:w w:val="100"/>
          <w:kern w:val="0"/>
          <w:position w:val="0"/>
          <w:sz w:val="21"/>
          <w:szCs w:val="21"/>
          <w:shd w:val="clear" w:color="auto" w:fill="auto"/>
          <w:lang w:eastAsia="en-US" w:bidi="en-US"/>
        </w:rPr>
      </w:pPr>
      <w:r>
        <w:rPr>
          <w:rFonts w:hint="eastAsia" w:ascii="宋体" w:hAnsi="宋体" w:eastAsia="Times New Roman" w:cs="Times New Roman"/>
          <w:color w:val="000000"/>
          <w:spacing w:val="0"/>
          <w:w w:val="100"/>
          <w:kern w:val="0"/>
          <w:position w:val="0"/>
          <w:sz w:val="21"/>
          <w:szCs w:val="21"/>
          <w:shd w:val="clear" w:color="auto" w:fill="auto"/>
          <w:lang w:eastAsia="en-US" w:bidi="en-US"/>
        </w:rPr>
        <w:t>若被检产品明示的质量要求低于本细则中检验项目依据的强制性标准要求时，应按照强制性标准要求判定。</w:t>
      </w:r>
    </w:p>
    <w:p>
      <w:pPr>
        <w:keepNext w:val="0"/>
        <w:keepLines w:val="0"/>
        <w:shd w:val="clear" w:color="auto" w:fill="auto"/>
        <w:bidi w:val="0"/>
        <w:adjustRightInd/>
        <w:snapToGrid w:val="0"/>
        <w:spacing w:before="0" w:after="0" w:line="440" w:lineRule="exact"/>
        <w:ind w:left="0" w:right="0" w:firstLine="420" w:firstLineChars="200"/>
        <w:rPr>
          <w:rFonts w:hint="eastAsia" w:ascii="宋体" w:hAnsi="宋体" w:eastAsia="Times New Roman" w:cs="Times New Roman"/>
          <w:color w:val="000000"/>
          <w:spacing w:val="0"/>
          <w:w w:val="100"/>
          <w:kern w:val="0"/>
          <w:position w:val="0"/>
          <w:sz w:val="21"/>
          <w:szCs w:val="21"/>
          <w:shd w:val="clear" w:color="auto" w:fill="auto"/>
          <w:lang w:eastAsia="en-US" w:bidi="en-US"/>
        </w:rPr>
      </w:pPr>
      <w:r>
        <w:rPr>
          <w:rFonts w:hint="eastAsia" w:ascii="宋体" w:hAnsi="宋体" w:eastAsia="Times New Roman" w:cs="Times New Roman"/>
          <w:color w:val="000000"/>
          <w:spacing w:val="0"/>
          <w:w w:val="100"/>
          <w:kern w:val="0"/>
          <w:position w:val="0"/>
          <w:sz w:val="21"/>
          <w:szCs w:val="21"/>
          <w:shd w:val="clear" w:color="auto" w:fill="auto"/>
          <w:lang w:eastAsia="en-US" w:bidi="en-US"/>
        </w:rPr>
        <w:t>若被检产品明示的质量要求低于或包含</w:t>
      </w:r>
      <w:r>
        <w:rPr>
          <w:rFonts w:hint="eastAsia" w:ascii="宋体" w:hAnsi="宋体" w:cs="Times New Roman"/>
          <w:color w:val="000000"/>
          <w:spacing w:val="0"/>
          <w:w w:val="100"/>
          <w:kern w:val="0"/>
          <w:position w:val="0"/>
          <w:sz w:val="21"/>
          <w:szCs w:val="21"/>
          <w:shd w:val="clear" w:color="auto" w:fill="auto"/>
          <w:lang w:eastAsia="zh-CN" w:bidi="en-US"/>
        </w:rPr>
        <w:t>本</w:t>
      </w:r>
      <w:r>
        <w:rPr>
          <w:rFonts w:hint="eastAsia" w:ascii="宋体" w:hAnsi="宋体" w:eastAsia="Times New Roman" w:cs="Times New Roman"/>
          <w:color w:val="000000"/>
          <w:spacing w:val="0"/>
          <w:w w:val="100"/>
          <w:kern w:val="0"/>
          <w:position w:val="0"/>
          <w:sz w:val="21"/>
          <w:szCs w:val="21"/>
          <w:shd w:val="clear" w:color="auto" w:fill="auto"/>
          <w:lang w:eastAsia="en-US" w:bidi="en-US"/>
        </w:rPr>
        <w:t>细则中检验项目依据的推荐性标准要求时，应以被检产品明示的质量要求判定，但应在检验报告备注中进行说明。</w:t>
      </w:r>
    </w:p>
    <w:p>
      <w:pPr>
        <w:keepNext w:val="0"/>
        <w:keepLines w:val="0"/>
        <w:shd w:val="clear" w:color="auto" w:fill="auto"/>
        <w:bidi w:val="0"/>
        <w:adjustRightInd/>
        <w:snapToGrid w:val="0"/>
        <w:spacing w:before="0" w:after="0" w:line="440" w:lineRule="exact"/>
        <w:ind w:left="0" w:right="0" w:firstLine="420" w:firstLineChars="200"/>
        <w:rPr>
          <w:rFonts w:hint="eastAsia" w:ascii="宋体" w:hAnsi="宋体" w:eastAsia="Times New Roman" w:cs="Times New Roman"/>
          <w:color w:val="000000"/>
          <w:spacing w:val="0"/>
          <w:w w:val="100"/>
          <w:kern w:val="0"/>
          <w:position w:val="0"/>
          <w:sz w:val="21"/>
          <w:szCs w:val="21"/>
          <w:shd w:val="clear" w:color="auto" w:fill="auto"/>
          <w:lang w:eastAsia="en-US" w:bidi="en-US"/>
        </w:rPr>
      </w:pPr>
      <w:r>
        <w:rPr>
          <w:rFonts w:hint="eastAsia" w:ascii="宋体" w:hAnsi="宋体" w:eastAsia="Times New Roman" w:cs="Times New Roman"/>
          <w:color w:val="000000"/>
          <w:spacing w:val="0"/>
          <w:w w:val="100"/>
          <w:kern w:val="0"/>
          <w:position w:val="0"/>
          <w:sz w:val="21"/>
          <w:szCs w:val="21"/>
          <w:shd w:val="clear" w:color="auto" w:fill="auto"/>
          <w:lang w:eastAsia="en-US" w:bidi="en-US"/>
        </w:rPr>
        <w:t>若被检产品明示的质量要求缺少本细则中检验项目依据的强制性标准要求时，应按照强制性标准要求判定。</w:t>
      </w:r>
    </w:p>
    <w:p>
      <w:pPr>
        <w:keepNext w:val="0"/>
        <w:keepLines w:val="0"/>
        <w:shd w:val="clear" w:color="auto" w:fill="auto"/>
        <w:bidi w:val="0"/>
        <w:adjustRightInd/>
        <w:snapToGrid w:val="0"/>
        <w:spacing w:before="0" w:after="0" w:line="440" w:lineRule="exact"/>
        <w:ind w:left="0" w:right="0" w:firstLine="420" w:firstLineChars="200"/>
        <w:rPr>
          <w:rFonts w:hint="eastAsia" w:ascii="宋体" w:hAnsi="宋体" w:eastAsia="Times New Roman" w:cs="Times New Roman"/>
          <w:color w:val="000000"/>
          <w:spacing w:val="0"/>
          <w:w w:val="100"/>
          <w:kern w:val="0"/>
          <w:position w:val="0"/>
          <w:sz w:val="21"/>
          <w:szCs w:val="21"/>
          <w:shd w:val="clear" w:color="auto" w:fill="auto"/>
          <w:lang w:eastAsia="en-US" w:bidi="en-US"/>
        </w:rPr>
      </w:pPr>
      <w:r>
        <w:rPr>
          <w:rFonts w:hint="eastAsia" w:ascii="宋体" w:hAnsi="宋体" w:eastAsia="Times New Roman" w:cs="Times New Roman"/>
          <w:color w:val="000000"/>
          <w:spacing w:val="0"/>
          <w:w w:val="100"/>
          <w:kern w:val="0"/>
          <w:position w:val="0"/>
          <w:sz w:val="21"/>
          <w:szCs w:val="21"/>
          <w:shd w:val="clear" w:color="auto" w:fill="auto"/>
          <w:lang w:eastAsia="en-US" w:bidi="en-US"/>
        </w:rPr>
        <w:t>若被检产品明示的质量要求缺少本细则中检验项目依据的推荐性标准要求时，该项目不参与判定，但应在检验报告备注中进行说明。</w:t>
      </w:r>
    </w:p>
    <w:p>
      <w:pPr>
        <w:keepNext w:val="0"/>
        <w:keepLines w:val="0"/>
        <w:shd w:val="clear" w:color="auto" w:fill="auto"/>
        <w:bidi w:val="0"/>
        <w:adjustRightInd/>
        <w:snapToGrid w:val="0"/>
        <w:spacing w:before="0" w:after="0" w:line="440" w:lineRule="exact"/>
        <w:ind w:left="0" w:right="0" w:firstLine="480" w:firstLineChars="200"/>
        <w:rPr>
          <w:rFonts w:hint="eastAsia" w:ascii="宋体" w:hAnsi="宋体" w:eastAsia="Times New Roman" w:cs="Times New Roman"/>
          <w:color w:val="000000"/>
          <w:spacing w:val="0"/>
          <w:w w:val="100"/>
          <w:kern w:val="0"/>
          <w:position w:val="0"/>
          <w:sz w:val="24"/>
          <w:szCs w:val="21"/>
          <w:shd w:val="clear" w:color="auto" w:fill="auto"/>
          <w:lang w:eastAsia="zh-CN" w:bidi="en-US"/>
        </w:rPr>
      </w:pPr>
    </w:p>
    <w:p>
      <w:pPr>
        <w:ind w:left="0" w:leftChars="0" w:firstLine="0" w:firstLineChars="0"/>
      </w:pPr>
    </w:p>
    <w:sectPr>
      <w:headerReference r:id="rId3" w:type="default"/>
      <w:pgSz w:w="11906" w:h="16838"/>
      <w:pgMar w:top="850" w:right="1134" w:bottom="85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0AFF" w:usb1="00007843" w:usb2="00000001" w:usb3="00000000" w:csb0="400001BF" w:csb1="DFF7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panose1 w:val="03000509000000000000"/>
    <w:charset w:val="86"/>
    <w:family w:val="script"/>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1"/>
      </w:pBdr>
      <w:ind w:left="0" w:leftChars="0" w:firstLine="0" w:firstLineChars="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CF3A0D"/>
    <w:rsid w:val="0035315B"/>
    <w:rsid w:val="039C080C"/>
    <w:rsid w:val="05001DF8"/>
    <w:rsid w:val="0CB4256B"/>
    <w:rsid w:val="0D8136DA"/>
    <w:rsid w:val="0E333DE1"/>
    <w:rsid w:val="11486B7A"/>
    <w:rsid w:val="12101CD9"/>
    <w:rsid w:val="142A13CA"/>
    <w:rsid w:val="170D37EB"/>
    <w:rsid w:val="17A0671E"/>
    <w:rsid w:val="19EB0AD6"/>
    <w:rsid w:val="1E912D82"/>
    <w:rsid w:val="253176B7"/>
    <w:rsid w:val="26287608"/>
    <w:rsid w:val="27923A6D"/>
    <w:rsid w:val="27B05B10"/>
    <w:rsid w:val="27F15C9B"/>
    <w:rsid w:val="28D07862"/>
    <w:rsid w:val="29DE3C15"/>
    <w:rsid w:val="2A124D7A"/>
    <w:rsid w:val="30EB2C1D"/>
    <w:rsid w:val="31B904DF"/>
    <w:rsid w:val="35857E4F"/>
    <w:rsid w:val="38816074"/>
    <w:rsid w:val="3C9A0A15"/>
    <w:rsid w:val="3CAE066F"/>
    <w:rsid w:val="40FE6CFD"/>
    <w:rsid w:val="41666083"/>
    <w:rsid w:val="46CF3A0D"/>
    <w:rsid w:val="52AA0987"/>
    <w:rsid w:val="52BA6262"/>
    <w:rsid w:val="58B6276E"/>
    <w:rsid w:val="58CE181A"/>
    <w:rsid w:val="5F2E64E2"/>
    <w:rsid w:val="5F3A33F4"/>
    <w:rsid w:val="6205162B"/>
    <w:rsid w:val="63032483"/>
    <w:rsid w:val="6A5E12D3"/>
    <w:rsid w:val="6E171FCE"/>
    <w:rsid w:val="6E8334CB"/>
    <w:rsid w:val="6F9E16EC"/>
    <w:rsid w:val="6FB40540"/>
    <w:rsid w:val="714D77AB"/>
    <w:rsid w:val="741415EA"/>
    <w:rsid w:val="74A63B2A"/>
    <w:rsid w:val="78BE2A61"/>
    <w:rsid w:val="7963372D"/>
    <w:rsid w:val="7B754AE2"/>
    <w:rsid w:val="7C176EF8"/>
    <w:rsid w:val="7F0136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ind w:firstLine="640" w:firstLineChars="200"/>
      <w:jc w:val="left"/>
    </w:pPr>
    <w:rPr>
      <w:rFonts w:ascii="Times New Roman" w:hAnsi="Times New Roman" w:eastAsia="宋体" w:cstheme="minorBidi"/>
      <w:kern w:val="2"/>
      <w:sz w:val="21"/>
      <w:szCs w:val="24"/>
      <w:lang w:val="en-US" w:eastAsia="zh-CN" w:bidi="ar-SA"/>
    </w:rPr>
  </w:style>
  <w:style w:type="paragraph" w:styleId="2">
    <w:name w:val="heading 2"/>
    <w:basedOn w:val="1"/>
    <w:next w:val="1"/>
    <w:link w:val="8"/>
    <w:unhideWhenUsed/>
    <w:qFormat/>
    <w:uiPriority w:val="0"/>
    <w:pPr>
      <w:keepNext/>
      <w:keepLines/>
      <w:adjustRightInd w:val="0"/>
      <w:snapToGrid w:val="0"/>
      <w:spacing w:beforeLines="0" w:beforeAutospacing="0" w:afterLines="0" w:afterAutospacing="0" w:line="360" w:lineRule="auto"/>
      <w:outlineLvl w:val="1"/>
    </w:pPr>
    <w:rPr>
      <w:rFonts w:eastAsia="黑体"/>
      <w:sz w:val="24"/>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标题 2 Char"/>
    <w:link w:val="2"/>
    <w:qFormat/>
    <w:uiPriority w:val="0"/>
    <w:rPr>
      <w:rFonts w:eastAsia="黑体"/>
      <w:sz w:val="24"/>
    </w:rPr>
  </w:style>
  <w:style w:type="paragraph" w:customStyle="1" w:styleId="9">
    <w:name w:val="Body text|1"/>
    <w:basedOn w:val="1"/>
    <w:qFormat/>
    <w:uiPriority w:val="0"/>
    <w:pPr>
      <w:widowControl w:val="0"/>
      <w:shd w:val="clear" w:color="auto" w:fill="auto"/>
      <w:spacing w:after="80" w:line="360" w:lineRule="auto"/>
      <w:ind w:firstLine="400"/>
    </w:pPr>
    <w:rPr>
      <w:rFonts w:ascii="宋体" w:hAnsi="宋体" w:eastAsia="宋体" w:cs="宋体"/>
      <w:sz w:val="19"/>
      <w:szCs w:val="19"/>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2018-07-25T02:23:00Z</dcterms:created>
  <dc:creator>JS</dc:creator>
  <cp:lastModifiedBy>冯家宝</cp:lastModifiedBy>
  <dcterms:modified xsi:type="dcterms:W3CDTF">2020-01-31T07:26:54Z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