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default" w:ascii="Times New Roman" w:hAnsi="Times New Roman" w:eastAsia="方正小标宋简体" w:cs="Times New Roman"/>
          <w:color w:val="auto"/>
          <w:sz w:val="32"/>
          <w:szCs w:val="32"/>
          <w:highlight w:val="none"/>
        </w:rPr>
      </w:pPr>
      <w:bookmarkStart w:id="0" w:name="_GoBack"/>
      <w:bookmarkEnd w:id="0"/>
      <w:r>
        <w:rPr>
          <w:rFonts w:hint="default" w:ascii="Times New Roman" w:hAnsi="Times New Roman" w:eastAsia="方正小标宋简体" w:cs="Times New Roman"/>
          <w:color w:val="auto"/>
          <w:sz w:val="32"/>
          <w:szCs w:val="32"/>
          <w:highlight w:val="none"/>
          <w:lang w:eastAsia="zh-CN"/>
        </w:rPr>
        <w:t>广州市</w:t>
      </w:r>
      <w:r>
        <w:rPr>
          <w:rFonts w:hint="eastAsia" w:ascii="Times New Roman" w:hAnsi="Times New Roman" w:eastAsia="方正小标宋简体" w:cs="Times New Roman"/>
          <w:color w:val="auto"/>
          <w:sz w:val="32"/>
          <w:szCs w:val="32"/>
          <w:highlight w:val="none"/>
          <w:lang w:eastAsia="zh-CN"/>
        </w:rPr>
        <w:t>市场监督管理局</w:t>
      </w:r>
      <w:r>
        <w:rPr>
          <w:rFonts w:hint="default" w:ascii="Times New Roman" w:hAnsi="Times New Roman" w:eastAsia="方正小标宋简体" w:cs="Times New Roman"/>
          <w:color w:val="auto"/>
          <w:sz w:val="32"/>
          <w:szCs w:val="32"/>
          <w:highlight w:val="none"/>
          <w:lang w:eastAsia="zh-CN"/>
        </w:rPr>
        <w:t>玩具</w:t>
      </w:r>
      <w:r>
        <w:rPr>
          <w:rFonts w:hint="default" w:ascii="Times New Roman" w:hAnsi="Times New Roman" w:eastAsia="方正小标宋简体" w:cs="Times New Roman"/>
          <w:color w:val="auto"/>
          <w:sz w:val="32"/>
          <w:szCs w:val="32"/>
          <w:highlight w:val="none"/>
        </w:rPr>
        <w:t>产品质量监督抽查实施</w:t>
      </w:r>
      <w:r>
        <w:rPr>
          <w:rFonts w:hint="default" w:ascii="Times New Roman" w:hAnsi="Times New Roman" w:eastAsia="方正小标宋简体" w:cs="Times New Roman"/>
          <w:color w:val="auto"/>
          <w:sz w:val="32"/>
          <w:szCs w:val="32"/>
          <w:highlight w:val="none"/>
          <w:lang w:eastAsia="zh-CN"/>
        </w:rPr>
        <w:t>细则</w:t>
      </w:r>
    </w:p>
    <w:p>
      <w:pPr>
        <w:snapToGrid w:val="0"/>
        <w:spacing w:line="440" w:lineRule="exac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1 抽样方法</w:t>
      </w:r>
    </w:p>
    <w:p>
      <w:pPr>
        <w:snapToGrid w:val="0"/>
        <w:spacing w:line="44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在企业的待销产品中随机抽取有产品质量检验合格证明或者以其他形式表明合格的、近期生产的产品。</w:t>
      </w:r>
    </w:p>
    <w:p>
      <w:pPr>
        <w:snapToGrid w:val="0"/>
        <w:spacing w:line="44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抽查样品基数满足抽样数量即可。</w:t>
      </w:r>
    </w:p>
    <w:p>
      <w:pPr>
        <w:snapToGrid w:val="0"/>
        <w:spacing w:line="440" w:lineRule="exact"/>
        <w:ind w:firstLine="420" w:firstLineChars="200"/>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每批次样品抽取3个，2个作为检验样品，1个作为备用样品。</w:t>
      </w:r>
    </w:p>
    <w:p>
      <w:pPr>
        <w:snapToGrid w:val="0"/>
        <w:spacing w:line="44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随机数一般可使用随机数表、随机数骰子或扑克牌等方法产生。</w:t>
      </w:r>
    </w:p>
    <w:p>
      <w:pPr>
        <w:snapToGrid w:val="0"/>
        <w:spacing w:line="440" w:lineRule="exac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2 检验依据</w:t>
      </w:r>
    </w:p>
    <w:p>
      <w:pPr>
        <w:snapToGrid w:val="0"/>
        <w:spacing w:line="44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本次抽查检验项目和检验方法依据见表。</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200"/>
        <w:jc w:val="center"/>
        <w:textAlignment w:val="auto"/>
        <w:outlineLvl w:val="9"/>
        <w:rPr>
          <w:rFonts w:hint="default" w:ascii="Times New Roman" w:hAnsi="Times New Roman" w:cs="Times New Roman"/>
          <w:color w:val="auto"/>
          <w:szCs w:val="21"/>
          <w:highlight w:val="none"/>
          <w:lang w:val="zh-CN" w:eastAsia="zh-CN"/>
        </w:rPr>
      </w:pPr>
      <w:r>
        <w:rPr>
          <w:rFonts w:hint="default" w:ascii="Times New Roman" w:hAnsi="Times New Roman" w:cs="Times New Roman" w:eastAsiaTheme="minorEastAsia"/>
          <w:color w:val="auto"/>
          <w:kern w:val="0"/>
          <w:sz w:val="21"/>
          <w:szCs w:val="21"/>
          <w:highlight w:val="none"/>
        </w:rPr>
        <w:t>表</w:t>
      </w:r>
      <w:r>
        <w:rPr>
          <w:rFonts w:hint="default" w:ascii="Times New Roman" w:hAnsi="Times New Roman" w:cs="Times New Roman" w:eastAsiaTheme="minorEastAsia"/>
          <w:color w:val="auto"/>
          <w:kern w:val="0"/>
          <w:sz w:val="21"/>
          <w:szCs w:val="21"/>
          <w:highlight w:val="none"/>
          <w:lang w:val="en-US" w:eastAsia="zh-CN"/>
        </w:rPr>
        <w:t>1</w:t>
      </w:r>
      <w:r>
        <w:rPr>
          <w:rFonts w:hint="default" w:ascii="Times New Roman" w:hAnsi="Times New Roman" w:cs="Times New Roman" w:eastAsiaTheme="minorEastAsia"/>
          <w:color w:val="auto"/>
          <w:kern w:val="0"/>
          <w:sz w:val="21"/>
          <w:szCs w:val="21"/>
          <w:highlight w:val="none"/>
        </w:rPr>
        <w:t xml:space="preserve">  检验项目</w:t>
      </w:r>
    </w:p>
    <w:tbl>
      <w:tblPr>
        <w:tblStyle w:val="7"/>
        <w:tblW w:w="93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012"/>
        <w:gridCol w:w="1985"/>
        <w:gridCol w:w="2888"/>
        <w:gridCol w:w="925"/>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序号</w:t>
            </w:r>
          </w:p>
        </w:tc>
        <w:tc>
          <w:tcPr>
            <w:tcW w:w="2012"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检验项目</w:t>
            </w:r>
          </w:p>
        </w:tc>
        <w:tc>
          <w:tcPr>
            <w:tcW w:w="1985"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color w:val="auto"/>
                <w:szCs w:val="21"/>
                <w:highlight w:val="none"/>
                <w:lang w:eastAsia="zh-CN"/>
              </w:rPr>
            </w:pPr>
            <w:r>
              <w:rPr>
                <w:rFonts w:hint="eastAsia" w:ascii="Times New Roman" w:hAnsi="Times New Roman" w:cs="Times New Roman"/>
                <w:color w:val="000000"/>
                <w:szCs w:val="21"/>
                <w:lang w:eastAsia="zh-CN"/>
              </w:rPr>
              <w:t>检验</w:t>
            </w:r>
            <w:r>
              <w:rPr>
                <w:rFonts w:hint="default" w:ascii="Times New Roman" w:hAnsi="Times New Roman" w:cs="Times New Roman"/>
                <w:color w:val="auto"/>
                <w:szCs w:val="21"/>
                <w:highlight w:val="none"/>
                <w:lang w:eastAsia="zh-CN"/>
              </w:rPr>
              <w:t>依据</w:t>
            </w:r>
          </w:p>
        </w:tc>
        <w:tc>
          <w:tcPr>
            <w:tcW w:w="2888"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highlight w:val="none"/>
              </w:rPr>
            </w:pPr>
            <w:r>
              <w:rPr>
                <w:rFonts w:hint="eastAsia" w:ascii="Times New Roman" w:hAnsi="Times New Roman" w:cs="Times New Roman"/>
                <w:color w:val="000000"/>
                <w:szCs w:val="21"/>
                <w:lang w:eastAsia="zh-CN"/>
              </w:rPr>
              <w:t>检验</w:t>
            </w:r>
            <w:r>
              <w:rPr>
                <w:rFonts w:hint="default" w:ascii="Times New Roman" w:hAnsi="Times New Roman" w:cs="Times New Roman"/>
                <w:color w:val="auto"/>
                <w:szCs w:val="21"/>
                <w:highlight w:val="none"/>
              </w:rPr>
              <w:t>方法</w:t>
            </w:r>
          </w:p>
        </w:tc>
        <w:tc>
          <w:tcPr>
            <w:tcW w:w="1759" w:type="dxa"/>
            <w:gridSpan w:val="2"/>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color w:val="auto"/>
                <w:szCs w:val="21"/>
                <w:highlight w:val="none"/>
              </w:rPr>
              <w:t>重要程度分类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Merge w:val="continue"/>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c>
          <w:tcPr>
            <w:tcW w:w="2012" w:type="dxa"/>
            <w:vMerge w:val="continue"/>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c>
          <w:tcPr>
            <w:tcW w:w="1985" w:type="dxa"/>
            <w:vMerge w:val="continue"/>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c>
          <w:tcPr>
            <w:tcW w:w="2888" w:type="dxa"/>
            <w:vMerge w:val="continue"/>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c>
          <w:tcPr>
            <w:tcW w:w="925" w:type="dxa"/>
            <w:vAlign w:val="center"/>
          </w:tcPr>
          <w:p>
            <w:pPr>
              <w:pStyle w:val="3"/>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A类</w:t>
            </w:r>
            <w:r>
              <w:rPr>
                <w:rFonts w:hint="default" w:ascii="Times New Roman" w:hAnsi="Times New Roman" w:cs="Times New Roman"/>
                <w:bCs/>
                <w:color w:val="auto"/>
                <w:sz w:val="21"/>
                <w:szCs w:val="21"/>
                <w:highlight w:val="none"/>
                <w:vertAlign w:val="superscript"/>
                <w:lang w:val="en-US" w:eastAsia="zh-CN"/>
              </w:rPr>
              <w:t>a</w:t>
            </w:r>
          </w:p>
        </w:tc>
        <w:tc>
          <w:tcPr>
            <w:tcW w:w="834" w:type="dxa"/>
            <w:vAlign w:val="center"/>
          </w:tcPr>
          <w:p>
            <w:pPr>
              <w:pStyle w:val="3"/>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B类</w:t>
            </w:r>
            <w:r>
              <w:rPr>
                <w:rFonts w:hint="default" w:ascii="Times New Roman" w:hAnsi="Times New Roman" w:cs="Times New Roman"/>
                <w:bCs/>
                <w:color w:val="auto"/>
                <w:sz w:val="21"/>
                <w:szCs w:val="21"/>
                <w:highlight w:val="none"/>
                <w:vertAlign w:val="superscript"/>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357" w:type="dxa"/>
            <w:gridSpan w:val="6"/>
            <w:vAlign w:val="center"/>
          </w:tcPr>
          <w:p>
            <w:pPr>
              <w:pStyle w:val="2"/>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一、机械与物理性能正常使用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1</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材料</w:t>
            </w:r>
          </w:p>
        </w:tc>
        <w:tc>
          <w:tcPr>
            <w:tcW w:w="1985" w:type="dxa"/>
            <w:vAlign w:val="bottom"/>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4.3</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4.3</w:t>
            </w:r>
          </w:p>
        </w:tc>
        <w:tc>
          <w:tcPr>
            <w:tcW w:w="925" w:type="dxa"/>
            <w:vAlign w:val="bottom"/>
          </w:tcPr>
          <w:p>
            <w:pPr>
              <w:pStyle w:val="2"/>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 w:val="21"/>
                <w:szCs w:val="21"/>
                <w:highlight w:val="none"/>
                <w:lang w:val="en-US" w:eastAsia="zh-CN"/>
              </w:rPr>
            </w:pPr>
          </w:p>
        </w:tc>
        <w:tc>
          <w:tcPr>
            <w:tcW w:w="834"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2</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小零件</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4.4</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5.2</w:t>
            </w:r>
          </w:p>
        </w:tc>
        <w:tc>
          <w:tcPr>
            <w:tcW w:w="92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c>
          <w:tcPr>
            <w:tcW w:w="834"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3</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挤压玩具、摇铃及类似玩具</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4.5.1</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5.3</w:t>
            </w:r>
          </w:p>
        </w:tc>
        <w:tc>
          <w:tcPr>
            <w:tcW w:w="92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c>
          <w:tcPr>
            <w:tcW w:w="834"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小球</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4.5.2</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5.4</w:t>
            </w:r>
          </w:p>
        </w:tc>
        <w:tc>
          <w:tcPr>
            <w:tcW w:w="92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c>
          <w:tcPr>
            <w:tcW w:w="834"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5</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毛球</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4.5.3</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5.5</w:t>
            </w:r>
          </w:p>
        </w:tc>
        <w:tc>
          <w:tcPr>
            <w:tcW w:w="92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c>
          <w:tcPr>
            <w:tcW w:w="834"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6</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学前玩偶</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4.5.4</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5.6</w:t>
            </w:r>
          </w:p>
        </w:tc>
        <w:tc>
          <w:tcPr>
            <w:tcW w:w="92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c>
          <w:tcPr>
            <w:tcW w:w="834"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7</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玩具奶嘴</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4.5.5</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4.5.5</w:t>
            </w:r>
          </w:p>
        </w:tc>
        <w:tc>
          <w:tcPr>
            <w:tcW w:w="92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c>
          <w:tcPr>
            <w:tcW w:w="834"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8</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气球</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4.5.6</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4.5.6</w:t>
            </w:r>
          </w:p>
        </w:tc>
        <w:tc>
          <w:tcPr>
            <w:tcW w:w="92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c>
          <w:tcPr>
            <w:tcW w:w="834"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9</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弹珠</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4.5.7</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4.5.7</w:t>
            </w:r>
          </w:p>
        </w:tc>
        <w:tc>
          <w:tcPr>
            <w:tcW w:w="92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c>
          <w:tcPr>
            <w:tcW w:w="834"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10</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半球形玩具</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4.5.8</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4.5.8</w:t>
            </w:r>
          </w:p>
        </w:tc>
        <w:tc>
          <w:tcPr>
            <w:tcW w:w="92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c>
          <w:tcPr>
            <w:tcW w:w="834"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11</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可触及的金属或玻璃边缘</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4.6.1</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5.8</w:t>
            </w:r>
          </w:p>
        </w:tc>
        <w:tc>
          <w:tcPr>
            <w:tcW w:w="92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c>
          <w:tcPr>
            <w:tcW w:w="834"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12</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功能性锐利边缘</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4.6.2</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4.6.2</w:t>
            </w:r>
          </w:p>
        </w:tc>
        <w:tc>
          <w:tcPr>
            <w:tcW w:w="92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c>
          <w:tcPr>
            <w:tcW w:w="834"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13</w:t>
            </w:r>
          </w:p>
        </w:tc>
        <w:tc>
          <w:tcPr>
            <w:tcW w:w="2012"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kern w:val="0"/>
                <w:szCs w:val="21"/>
                <w:highlight w:val="none"/>
              </w:rPr>
              <w:t>金属玩具边缘</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4.6.3</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5.8</w:t>
            </w:r>
          </w:p>
        </w:tc>
        <w:tc>
          <w:tcPr>
            <w:tcW w:w="92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c>
          <w:tcPr>
            <w:tcW w:w="834"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14</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模塑玩具边缘</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4.6.4</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4.6.4</w:t>
            </w:r>
          </w:p>
        </w:tc>
        <w:tc>
          <w:tcPr>
            <w:tcW w:w="92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c>
          <w:tcPr>
            <w:tcW w:w="834"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15</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外露螺栓或螺纹杆的边缘</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4.6.5</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5.8、4.6.5</w:t>
            </w:r>
          </w:p>
        </w:tc>
        <w:tc>
          <w:tcPr>
            <w:tcW w:w="92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c>
          <w:tcPr>
            <w:tcW w:w="834"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16</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可触及的锐利尖端</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4.7.1</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5.9</w:t>
            </w:r>
          </w:p>
        </w:tc>
        <w:tc>
          <w:tcPr>
            <w:tcW w:w="92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c>
          <w:tcPr>
            <w:tcW w:w="834"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17</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功能性锐利尖端</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4.7.2</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4.7.2</w:t>
            </w:r>
          </w:p>
        </w:tc>
        <w:tc>
          <w:tcPr>
            <w:tcW w:w="92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c>
          <w:tcPr>
            <w:tcW w:w="834"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18</w:t>
            </w:r>
          </w:p>
        </w:tc>
        <w:tc>
          <w:tcPr>
            <w:tcW w:w="2012"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木制玩具</w:t>
            </w:r>
          </w:p>
        </w:tc>
        <w:tc>
          <w:tcPr>
            <w:tcW w:w="198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4.7.3</w:t>
            </w:r>
          </w:p>
        </w:tc>
        <w:tc>
          <w:tcPr>
            <w:tcW w:w="2888" w:type="dxa"/>
            <w:vAlign w:val="center"/>
          </w:tcPr>
          <w:p>
            <w:pPr>
              <w:pStyle w:val="3"/>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3"/>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4.7.3</w:t>
            </w:r>
          </w:p>
        </w:tc>
        <w:tc>
          <w:tcPr>
            <w:tcW w:w="925" w:type="dxa"/>
            <w:vAlign w:val="center"/>
          </w:tcPr>
          <w:p>
            <w:pPr>
              <w:pStyle w:val="3"/>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c>
          <w:tcPr>
            <w:tcW w:w="834"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19</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突出物</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4.8.1</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4.8.1</w:t>
            </w:r>
          </w:p>
        </w:tc>
        <w:tc>
          <w:tcPr>
            <w:tcW w:w="92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c>
          <w:tcPr>
            <w:tcW w:w="834"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20</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用于包装或玩具中的塑料袋或塑料薄膜</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4.10</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5.10</w:t>
            </w:r>
          </w:p>
        </w:tc>
        <w:tc>
          <w:tcPr>
            <w:tcW w:w="92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c>
          <w:tcPr>
            <w:tcW w:w="834"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21</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18个月以下儿童使用的玩具上的绳索和弹性绳</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4.11.1</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5.11.1、4.11.1</w:t>
            </w:r>
          </w:p>
        </w:tc>
        <w:tc>
          <w:tcPr>
            <w:tcW w:w="92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c>
          <w:tcPr>
            <w:tcW w:w="834"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22</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18个月以下儿童使用的玩具上的自回缩绳</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4.11.2</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5.11.2</w:t>
            </w:r>
          </w:p>
        </w:tc>
        <w:tc>
          <w:tcPr>
            <w:tcW w:w="92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c>
          <w:tcPr>
            <w:tcW w:w="834"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23</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36个月以下儿童使用的拖拉玩具上的绳索或弹性绳</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4.11.3</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4.11.3</w:t>
            </w:r>
          </w:p>
        </w:tc>
        <w:tc>
          <w:tcPr>
            <w:tcW w:w="92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c>
          <w:tcPr>
            <w:tcW w:w="834"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24</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玩具袋上的绳索</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4.11.4</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4.11.4</w:t>
            </w:r>
          </w:p>
        </w:tc>
        <w:tc>
          <w:tcPr>
            <w:tcW w:w="92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c>
          <w:tcPr>
            <w:tcW w:w="834"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25</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铰链间隙</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4.12.3</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4.12.3</w:t>
            </w:r>
          </w:p>
        </w:tc>
        <w:tc>
          <w:tcPr>
            <w:tcW w:w="92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c>
          <w:tcPr>
            <w:tcW w:w="834"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26</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刚性材料上的圆孔</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4.13.1</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4.13.1</w:t>
            </w:r>
          </w:p>
        </w:tc>
        <w:tc>
          <w:tcPr>
            <w:tcW w:w="92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c>
          <w:tcPr>
            <w:tcW w:w="834"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27</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活动部件间的间隙</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4.13.2</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4.13.2</w:t>
            </w:r>
          </w:p>
        </w:tc>
        <w:tc>
          <w:tcPr>
            <w:tcW w:w="92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c>
          <w:tcPr>
            <w:tcW w:w="834"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28</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其他驱动机构</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4.13.4</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4.13.4</w:t>
            </w:r>
          </w:p>
        </w:tc>
        <w:tc>
          <w:tcPr>
            <w:tcW w:w="92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c>
          <w:tcPr>
            <w:tcW w:w="834"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29</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发条钥匙</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4.13.5</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4.13.5</w:t>
            </w:r>
          </w:p>
        </w:tc>
        <w:tc>
          <w:tcPr>
            <w:tcW w:w="92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c>
          <w:tcPr>
            <w:tcW w:w="834"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30</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弹簧</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4.14</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4.14</w:t>
            </w:r>
          </w:p>
        </w:tc>
        <w:tc>
          <w:tcPr>
            <w:tcW w:w="92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c>
          <w:tcPr>
            <w:tcW w:w="834"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31</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封闭头部的玩具</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4.16.3</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4.16.3</w:t>
            </w:r>
          </w:p>
        </w:tc>
        <w:tc>
          <w:tcPr>
            <w:tcW w:w="92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c>
          <w:tcPr>
            <w:tcW w:w="834"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32</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仿制防护玩具</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4.17</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5.14</w:t>
            </w:r>
          </w:p>
        </w:tc>
        <w:tc>
          <w:tcPr>
            <w:tcW w:w="92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c>
          <w:tcPr>
            <w:tcW w:w="834"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33</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弹射玩具一般要求</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4.18.1</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4.18.1</w:t>
            </w:r>
          </w:p>
        </w:tc>
        <w:tc>
          <w:tcPr>
            <w:tcW w:w="92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c>
          <w:tcPr>
            <w:tcW w:w="834"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34</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蓄能弹射玩具</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4.18.2</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5.15、4.18.2</w:t>
            </w:r>
          </w:p>
        </w:tc>
        <w:tc>
          <w:tcPr>
            <w:tcW w:w="92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c>
          <w:tcPr>
            <w:tcW w:w="834"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35</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非蓄能弹射玩具</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4.18.3</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5.15、4.18.3</w:t>
            </w:r>
          </w:p>
        </w:tc>
        <w:tc>
          <w:tcPr>
            <w:tcW w:w="92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c>
          <w:tcPr>
            <w:tcW w:w="834"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36</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水上玩具</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4.19</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4.19</w:t>
            </w:r>
          </w:p>
        </w:tc>
        <w:tc>
          <w:tcPr>
            <w:tcW w:w="92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c>
          <w:tcPr>
            <w:tcW w:w="834"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37</w:t>
            </w:r>
          </w:p>
        </w:tc>
        <w:tc>
          <w:tcPr>
            <w:tcW w:w="2012"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液体填充玩具</w:t>
            </w:r>
          </w:p>
        </w:tc>
        <w:tc>
          <w:tcPr>
            <w:tcW w:w="198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4.24</w:t>
            </w:r>
          </w:p>
        </w:tc>
        <w:tc>
          <w:tcPr>
            <w:tcW w:w="288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第5章相关条款、5.19</w:t>
            </w:r>
          </w:p>
        </w:tc>
        <w:tc>
          <w:tcPr>
            <w:tcW w:w="9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p>
        </w:tc>
        <w:tc>
          <w:tcPr>
            <w:tcW w:w="8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38</w:t>
            </w:r>
          </w:p>
        </w:tc>
        <w:tc>
          <w:tcPr>
            <w:tcW w:w="2012"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口动玩具</w:t>
            </w:r>
          </w:p>
        </w:tc>
        <w:tc>
          <w:tcPr>
            <w:tcW w:w="198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4.25</w:t>
            </w:r>
          </w:p>
        </w:tc>
        <w:tc>
          <w:tcPr>
            <w:tcW w:w="288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5.2、5.24.5、</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5.24.6.1、5.20</w:t>
            </w:r>
          </w:p>
        </w:tc>
        <w:tc>
          <w:tcPr>
            <w:tcW w:w="9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w:t>
            </w:r>
          </w:p>
        </w:tc>
        <w:tc>
          <w:tcPr>
            <w:tcW w:w="8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39</w:t>
            </w:r>
          </w:p>
        </w:tc>
        <w:tc>
          <w:tcPr>
            <w:tcW w:w="2012"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声响要求</w:t>
            </w:r>
          </w:p>
        </w:tc>
        <w:tc>
          <w:tcPr>
            <w:tcW w:w="198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4.28</w:t>
            </w:r>
          </w:p>
        </w:tc>
        <w:tc>
          <w:tcPr>
            <w:tcW w:w="288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4.28、5.25</w:t>
            </w:r>
          </w:p>
        </w:tc>
        <w:tc>
          <w:tcPr>
            <w:tcW w:w="9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w:t>
            </w:r>
          </w:p>
        </w:tc>
        <w:tc>
          <w:tcPr>
            <w:tcW w:w="8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40</w:t>
            </w:r>
          </w:p>
        </w:tc>
        <w:tc>
          <w:tcPr>
            <w:tcW w:w="2012"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磁体和磁性部件</w:t>
            </w:r>
          </w:p>
        </w:tc>
        <w:tc>
          <w:tcPr>
            <w:tcW w:w="198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4.29</w:t>
            </w:r>
          </w:p>
        </w:tc>
        <w:tc>
          <w:tcPr>
            <w:tcW w:w="288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4.29</w:t>
            </w:r>
          </w:p>
        </w:tc>
        <w:tc>
          <w:tcPr>
            <w:tcW w:w="9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w:t>
            </w:r>
          </w:p>
        </w:tc>
        <w:tc>
          <w:tcPr>
            <w:tcW w:w="8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357" w:type="dxa"/>
            <w:gridSpan w:val="6"/>
            <w:vAlign w:val="center"/>
          </w:tcPr>
          <w:p>
            <w:pPr>
              <w:pStyle w:val="2"/>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二、机械与物理性能可预见的合理滥用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1</w:t>
            </w:r>
          </w:p>
        </w:tc>
        <w:tc>
          <w:tcPr>
            <w:tcW w:w="2012"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小零件</w:t>
            </w:r>
          </w:p>
        </w:tc>
        <w:tc>
          <w:tcPr>
            <w:tcW w:w="198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4.2、</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4.4.1、4.4.2</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5.2、5.24.2、</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5.24.5、5.24.6.1、5.24.7</w:t>
            </w:r>
          </w:p>
        </w:tc>
        <w:tc>
          <w:tcPr>
            <w:tcW w:w="9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w:t>
            </w:r>
          </w:p>
        </w:tc>
        <w:tc>
          <w:tcPr>
            <w:tcW w:w="834"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2</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边缘</w:t>
            </w:r>
          </w:p>
        </w:tc>
        <w:tc>
          <w:tcPr>
            <w:tcW w:w="198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4.6</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5.8、5.24.2、5.24.5、</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5.24.6.1、5.24.7</w:t>
            </w:r>
          </w:p>
        </w:tc>
        <w:tc>
          <w:tcPr>
            <w:tcW w:w="92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c>
          <w:tcPr>
            <w:tcW w:w="834"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3</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尖端</w:t>
            </w:r>
          </w:p>
        </w:tc>
        <w:tc>
          <w:tcPr>
            <w:tcW w:w="198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4.7</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5.9、5.24.2、</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5.24.5、5.24.6.1、5.24.7</w:t>
            </w:r>
          </w:p>
        </w:tc>
        <w:tc>
          <w:tcPr>
            <w:tcW w:w="9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w:t>
            </w:r>
          </w:p>
        </w:tc>
        <w:tc>
          <w:tcPr>
            <w:tcW w:w="834"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w:t>
            </w:r>
          </w:p>
        </w:tc>
        <w:tc>
          <w:tcPr>
            <w:tcW w:w="2012"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小球</w:t>
            </w:r>
          </w:p>
        </w:tc>
        <w:tc>
          <w:tcPr>
            <w:tcW w:w="198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4.5.2</w:t>
            </w:r>
          </w:p>
        </w:tc>
        <w:tc>
          <w:tcPr>
            <w:tcW w:w="288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5.4、5.24.2、5.24.5、</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5.24.6.1、5.24.7</w:t>
            </w:r>
          </w:p>
        </w:tc>
        <w:tc>
          <w:tcPr>
            <w:tcW w:w="9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w:t>
            </w:r>
          </w:p>
        </w:tc>
        <w:tc>
          <w:tcPr>
            <w:tcW w:w="8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5</w:t>
            </w:r>
          </w:p>
        </w:tc>
        <w:tc>
          <w:tcPr>
            <w:tcW w:w="2012"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毛球</w:t>
            </w:r>
          </w:p>
        </w:tc>
        <w:tc>
          <w:tcPr>
            <w:tcW w:w="198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4.5.3</w:t>
            </w:r>
          </w:p>
        </w:tc>
        <w:tc>
          <w:tcPr>
            <w:tcW w:w="288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5.24.6.3、5.5</w:t>
            </w:r>
          </w:p>
        </w:tc>
        <w:tc>
          <w:tcPr>
            <w:tcW w:w="9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w:t>
            </w:r>
          </w:p>
        </w:tc>
        <w:tc>
          <w:tcPr>
            <w:tcW w:w="8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6</w:t>
            </w:r>
          </w:p>
        </w:tc>
        <w:tc>
          <w:tcPr>
            <w:tcW w:w="2012"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弹珠</w:t>
            </w:r>
          </w:p>
        </w:tc>
        <w:tc>
          <w:tcPr>
            <w:tcW w:w="198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4.5.7</w:t>
            </w:r>
          </w:p>
        </w:tc>
        <w:tc>
          <w:tcPr>
            <w:tcW w:w="288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5.24.2、5.24.5、</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5.24.6.1、5.24.7</w:t>
            </w:r>
          </w:p>
        </w:tc>
        <w:tc>
          <w:tcPr>
            <w:tcW w:w="9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p>
        </w:tc>
        <w:tc>
          <w:tcPr>
            <w:tcW w:w="8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7</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外露螺栓或螺纹杆的边缘</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4.6.5</w:t>
            </w:r>
          </w:p>
        </w:tc>
        <w:tc>
          <w:tcPr>
            <w:tcW w:w="288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5.8、5.24.2、5.24.5、</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5.24.6.1、5.24.7</w:t>
            </w:r>
          </w:p>
        </w:tc>
        <w:tc>
          <w:tcPr>
            <w:tcW w:w="9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p>
        </w:tc>
        <w:tc>
          <w:tcPr>
            <w:tcW w:w="8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8</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突出物</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4.8.1</w:t>
            </w:r>
          </w:p>
        </w:tc>
        <w:tc>
          <w:tcPr>
            <w:tcW w:w="288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5.24.6.4</w:t>
            </w:r>
          </w:p>
        </w:tc>
        <w:tc>
          <w:tcPr>
            <w:tcW w:w="9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w:t>
            </w:r>
          </w:p>
        </w:tc>
        <w:tc>
          <w:tcPr>
            <w:tcW w:w="8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9</w:t>
            </w:r>
          </w:p>
        </w:tc>
        <w:tc>
          <w:tcPr>
            <w:tcW w:w="2012"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金属丝和杆件</w:t>
            </w:r>
          </w:p>
        </w:tc>
        <w:tc>
          <w:tcPr>
            <w:tcW w:w="198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4.9</w:t>
            </w:r>
          </w:p>
        </w:tc>
        <w:tc>
          <w:tcPr>
            <w:tcW w:w="288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5.24.8、5.24.6.4、5.8、</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A5.9</w:t>
            </w:r>
          </w:p>
        </w:tc>
        <w:tc>
          <w:tcPr>
            <w:tcW w:w="9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p>
        </w:tc>
        <w:tc>
          <w:tcPr>
            <w:tcW w:w="8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10</w:t>
            </w:r>
          </w:p>
        </w:tc>
        <w:tc>
          <w:tcPr>
            <w:tcW w:w="2012"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刚性材料上的圆孔</w:t>
            </w:r>
          </w:p>
        </w:tc>
        <w:tc>
          <w:tcPr>
            <w:tcW w:w="198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4.13.1</w:t>
            </w:r>
          </w:p>
        </w:tc>
        <w:tc>
          <w:tcPr>
            <w:tcW w:w="288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5.24.2、5.24.5、</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5.24.6.1、5.24.7、</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A.4.13.1</w:t>
            </w:r>
          </w:p>
        </w:tc>
        <w:tc>
          <w:tcPr>
            <w:tcW w:w="9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p>
        </w:tc>
        <w:tc>
          <w:tcPr>
            <w:tcW w:w="8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11</w:t>
            </w:r>
          </w:p>
        </w:tc>
        <w:tc>
          <w:tcPr>
            <w:tcW w:w="2012"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活动部件间的间隙</w:t>
            </w:r>
          </w:p>
        </w:tc>
        <w:tc>
          <w:tcPr>
            <w:tcW w:w="198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4.13.2</w:t>
            </w:r>
          </w:p>
        </w:tc>
        <w:tc>
          <w:tcPr>
            <w:tcW w:w="2888" w:type="dxa"/>
            <w:vAlign w:val="center"/>
          </w:tcPr>
          <w:p>
            <w:pPr>
              <w:pStyle w:val="10"/>
              <w:keepNext w:val="0"/>
              <w:keepLines w:val="0"/>
              <w:pageBreakBefore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GB 6675.2-2014</w:t>
            </w:r>
          </w:p>
          <w:p>
            <w:pPr>
              <w:pStyle w:val="10"/>
              <w:keepNext w:val="0"/>
              <w:keepLines w:val="0"/>
              <w:pageBreakBefore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5.24.2、5.24.5、</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5.24.6.1、5.24.7、4.13.2</w:t>
            </w:r>
          </w:p>
        </w:tc>
        <w:tc>
          <w:tcPr>
            <w:tcW w:w="92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c>
          <w:tcPr>
            <w:tcW w:w="8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12</w:t>
            </w:r>
          </w:p>
        </w:tc>
        <w:tc>
          <w:tcPr>
            <w:tcW w:w="2012"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驱动机构</w:t>
            </w:r>
          </w:p>
        </w:tc>
        <w:tc>
          <w:tcPr>
            <w:tcW w:w="198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4.13.4</w:t>
            </w:r>
          </w:p>
        </w:tc>
        <w:tc>
          <w:tcPr>
            <w:tcW w:w="2888" w:type="dxa"/>
            <w:vAlign w:val="center"/>
          </w:tcPr>
          <w:p>
            <w:pPr>
              <w:pStyle w:val="10"/>
              <w:keepNext w:val="0"/>
              <w:keepLines w:val="0"/>
              <w:pageBreakBefore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GB 6675.2-2014</w:t>
            </w:r>
          </w:p>
          <w:p>
            <w:pPr>
              <w:pStyle w:val="10"/>
              <w:keepNext w:val="0"/>
              <w:keepLines w:val="0"/>
              <w:pageBreakBefore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5.24.2、5.24.5、</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5.24.6.1、5.24.7、5.7</w:t>
            </w:r>
          </w:p>
        </w:tc>
        <w:tc>
          <w:tcPr>
            <w:tcW w:w="92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c>
          <w:tcPr>
            <w:tcW w:w="8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13</w:t>
            </w:r>
          </w:p>
        </w:tc>
        <w:tc>
          <w:tcPr>
            <w:tcW w:w="2012"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发条钥匙</w:t>
            </w:r>
          </w:p>
        </w:tc>
        <w:tc>
          <w:tcPr>
            <w:tcW w:w="198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4.13.5</w:t>
            </w:r>
          </w:p>
        </w:tc>
        <w:tc>
          <w:tcPr>
            <w:tcW w:w="2888" w:type="dxa"/>
            <w:vAlign w:val="center"/>
          </w:tcPr>
          <w:p>
            <w:pPr>
              <w:pStyle w:val="10"/>
              <w:keepNext w:val="0"/>
              <w:keepLines w:val="0"/>
              <w:pageBreakBefore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GB 6675.2-2014</w:t>
            </w:r>
          </w:p>
          <w:p>
            <w:pPr>
              <w:pStyle w:val="10"/>
              <w:keepNext w:val="0"/>
              <w:keepLines w:val="0"/>
              <w:pageBreakBefore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5.24.2、5.24.5、</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5.24.6.1、5.24.7、4.13.5</w:t>
            </w:r>
          </w:p>
        </w:tc>
        <w:tc>
          <w:tcPr>
            <w:tcW w:w="9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p>
        </w:tc>
        <w:tc>
          <w:tcPr>
            <w:tcW w:w="8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14</w:t>
            </w:r>
          </w:p>
        </w:tc>
        <w:tc>
          <w:tcPr>
            <w:tcW w:w="2012"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蓄能弹射玩具</w:t>
            </w:r>
          </w:p>
        </w:tc>
        <w:tc>
          <w:tcPr>
            <w:tcW w:w="198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4.18.2</w:t>
            </w:r>
          </w:p>
        </w:tc>
        <w:tc>
          <w:tcPr>
            <w:tcW w:w="2888" w:type="dxa"/>
            <w:vAlign w:val="center"/>
          </w:tcPr>
          <w:p>
            <w:pPr>
              <w:pStyle w:val="10"/>
              <w:keepNext w:val="0"/>
              <w:keepLines w:val="0"/>
              <w:pageBreakBefore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GB 6675.2-2014</w:t>
            </w:r>
          </w:p>
          <w:p>
            <w:pPr>
              <w:pStyle w:val="10"/>
              <w:keepNext w:val="0"/>
              <w:keepLines w:val="0"/>
              <w:pageBreakBefore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5.24.5、5.24.6.4</w:t>
            </w:r>
          </w:p>
        </w:tc>
        <w:tc>
          <w:tcPr>
            <w:tcW w:w="9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w:t>
            </w:r>
          </w:p>
        </w:tc>
        <w:tc>
          <w:tcPr>
            <w:tcW w:w="8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15</w:t>
            </w:r>
          </w:p>
        </w:tc>
        <w:tc>
          <w:tcPr>
            <w:tcW w:w="2012"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非蓄能弹射玩具</w:t>
            </w:r>
          </w:p>
        </w:tc>
        <w:tc>
          <w:tcPr>
            <w:tcW w:w="198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4.18.3</w:t>
            </w:r>
          </w:p>
        </w:tc>
        <w:tc>
          <w:tcPr>
            <w:tcW w:w="2888" w:type="dxa"/>
            <w:vAlign w:val="center"/>
          </w:tcPr>
          <w:p>
            <w:pPr>
              <w:pStyle w:val="10"/>
              <w:keepNext w:val="0"/>
              <w:keepLines w:val="0"/>
              <w:pageBreakBefore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GB 6675.2-2014</w:t>
            </w:r>
          </w:p>
          <w:p>
            <w:pPr>
              <w:pStyle w:val="10"/>
              <w:keepNext w:val="0"/>
              <w:keepLines w:val="0"/>
              <w:pageBreakBefore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5.24.5、5.24.6.4</w:t>
            </w:r>
          </w:p>
        </w:tc>
        <w:tc>
          <w:tcPr>
            <w:tcW w:w="9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w:t>
            </w:r>
          </w:p>
        </w:tc>
        <w:tc>
          <w:tcPr>
            <w:tcW w:w="834" w:type="dxa"/>
            <w:vAlign w:val="center"/>
          </w:tcPr>
          <w:p>
            <w:pPr>
              <w:pStyle w:val="3"/>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16</w:t>
            </w:r>
          </w:p>
        </w:tc>
        <w:tc>
          <w:tcPr>
            <w:tcW w:w="2012"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口动玩具</w:t>
            </w:r>
          </w:p>
        </w:tc>
        <w:tc>
          <w:tcPr>
            <w:tcW w:w="198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4.25</w:t>
            </w:r>
          </w:p>
        </w:tc>
        <w:tc>
          <w:tcPr>
            <w:tcW w:w="2888" w:type="dxa"/>
            <w:vAlign w:val="center"/>
          </w:tcPr>
          <w:p>
            <w:pPr>
              <w:pStyle w:val="10"/>
              <w:keepNext w:val="0"/>
              <w:keepLines w:val="0"/>
              <w:pageBreakBefore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GB 6675.2-2014</w:t>
            </w:r>
          </w:p>
          <w:p>
            <w:pPr>
              <w:pStyle w:val="10"/>
              <w:keepNext w:val="0"/>
              <w:keepLines w:val="0"/>
              <w:pageBreakBefore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5.2、5.20、5.24.5、</w:t>
            </w:r>
          </w:p>
          <w:p>
            <w:pPr>
              <w:pStyle w:val="3"/>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5.24.6.1</w:t>
            </w:r>
          </w:p>
        </w:tc>
        <w:tc>
          <w:tcPr>
            <w:tcW w:w="9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w:t>
            </w:r>
          </w:p>
        </w:tc>
        <w:tc>
          <w:tcPr>
            <w:tcW w:w="834" w:type="dxa"/>
            <w:vAlign w:val="center"/>
          </w:tcPr>
          <w:p>
            <w:pPr>
              <w:pStyle w:val="3"/>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357" w:type="dxa"/>
            <w:gridSpan w:val="6"/>
            <w:vAlign w:val="center"/>
          </w:tcPr>
          <w:p>
            <w:pPr>
              <w:pStyle w:val="3"/>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三、易燃性能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1</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sz w:val="21"/>
                <w:szCs w:val="21"/>
                <w:highlight w:val="none"/>
                <w:lang w:val="en-US" w:eastAsia="zh-CN"/>
              </w:rPr>
            </w:pPr>
            <w:r>
              <w:rPr>
                <w:rFonts w:hint="default" w:ascii="Times New Roman" w:hAnsi="Times New Roman" w:cs="Times New Roman"/>
                <w:bCs/>
                <w:color w:val="auto"/>
                <w:kern w:val="2"/>
                <w:sz w:val="21"/>
                <w:szCs w:val="21"/>
                <w:highlight w:val="none"/>
                <w:lang w:val="en-US" w:eastAsia="zh-CN"/>
              </w:rPr>
              <w:t>一般要求</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6675.3-2014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4.1</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6675.3-2014</w:t>
            </w:r>
          </w:p>
          <w:p>
            <w:pPr>
              <w:pStyle w:val="3"/>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5.1</w:t>
            </w:r>
          </w:p>
        </w:tc>
        <w:tc>
          <w:tcPr>
            <w:tcW w:w="9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w:t>
            </w:r>
          </w:p>
        </w:tc>
        <w:tc>
          <w:tcPr>
            <w:tcW w:w="834" w:type="dxa"/>
            <w:vAlign w:val="center"/>
          </w:tcPr>
          <w:p>
            <w:pPr>
              <w:pStyle w:val="3"/>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2</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sz w:val="21"/>
                <w:szCs w:val="21"/>
                <w:highlight w:val="none"/>
                <w:lang w:val="en-US" w:eastAsia="zh-CN"/>
              </w:rPr>
            </w:pPr>
            <w:r>
              <w:rPr>
                <w:rFonts w:hint="default" w:ascii="Times New Roman" w:hAnsi="Times New Roman" w:cs="Times New Roman"/>
                <w:bCs/>
                <w:color w:val="auto"/>
                <w:kern w:val="2"/>
                <w:sz w:val="21"/>
                <w:szCs w:val="21"/>
                <w:highlight w:val="none"/>
                <w:lang w:val="en-US" w:eastAsia="zh-CN"/>
              </w:rPr>
              <w:t>头戴玩具</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6675.3-2014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4.2</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6675.3-2014</w:t>
            </w:r>
          </w:p>
          <w:p>
            <w:pPr>
              <w:pStyle w:val="3"/>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5.2、5.3、5.4</w:t>
            </w:r>
          </w:p>
        </w:tc>
        <w:tc>
          <w:tcPr>
            <w:tcW w:w="9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p>
        </w:tc>
        <w:tc>
          <w:tcPr>
            <w:tcW w:w="834" w:type="dxa"/>
            <w:vAlign w:val="center"/>
          </w:tcPr>
          <w:p>
            <w:pPr>
              <w:pStyle w:val="3"/>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3</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sz w:val="21"/>
                <w:szCs w:val="21"/>
                <w:highlight w:val="none"/>
                <w:lang w:val="en-US" w:eastAsia="zh-CN"/>
              </w:rPr>
            </w:pPr>
            <w:r>
              <w:rPr>
                <w:rFonts w:hint="default" w:ascii="Times New Roman" w:hAnsi="Times New Roman" w:cs="Times New Roman"/>
                <w:bCs/>
                <w:color w:val="auto"/>
                <w:kern w:val="2"/>
                <w:sz w:val="21"/>
                <w:szCs w:val="21"/>
                <w:highlight w:val="none"/>
                <w:lang w:val="en-US" w:eastAsia="zh-CN"/>
              </w:rPr>
              <w:t>化妆服饰</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6675.3-2014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4.3</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6675.3-2014</w:t>
            </w:r>
          </w:p>
          <w:p>
            <w:pPr>
              <w:pStyle w:val="3"/>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5.4</w:t>
            </w:r>
          </w:p>
        </w:tc>
        <w:tc>
          <w:tcPr>
            <w:tcW w:w="9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w:t>
            </w:r>
          </w:p>
        </w:tc>
        <w:tc>
          <w:tcPr>
            <w:tcW w:w="834" w:type="dxa"/>
            <w:vAlign w:val="center"/>
          </w:tcPr>
          <w:p>
            <w:pPr>
              <w:pStyle w:val="3"/>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sz w:val="21"/>
                <w:szCs w:val="21"/>
                <w:highlight w:val="none"/>
                <w:lang w:val="en-US" w:eastAsia="zh-CN"/>
              </w:rPr>
            </w:pPr>
            <w:r>
              <w:rPr>
                <w:rFonts w:hint="default" w:ascii="Times New Roman" w:hAnsi="Times New Roman" w:cs="Times New Roman"/>
                <w:bCs/>
                <w:color w:val="auto"/>
                <w:kern w:val="2"/>
                <w:sz w:val="21"/>
                <w:szCs w:val="21"/>
                <w:highlight w:val="none"/>
                <w:lang w:val="en-US" w:eastAsia="zh-CN"/>
              </w:rPr>
              <w:t>具有毛绒或纺织表面的软体填充玩具</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6675.3-2014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4.5</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6675.3-2014</w:t>
            </w:r>
          </w:p>
          <w:p>
            <w:pPr>
              <w:pStyle w:val="3"/>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5.5、5.6</w:t>
            </w:r>
          </w:p>
        </w:tc>
        <w:tc>
          <w:tcPr>
            <w:tcW w:w="925" w:type="dxa"/>
            <w:vAlign w:val="center"/>
          </w:tcPr>
          <w:p>
            <w:pPr>
              <w:pStyle w:val="3"/>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c>
          <w:tcPr>
            <w:tcW w:w="8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357" w:type="dxa"/>
            <w:gridSpan w:val="6"/>
            <w:vAlign w:val="center"/>
          </w:tcPr>
          <w:p>
            <w:pPr>
              <w:pStyle w:val="2"/>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四、特定元素的迁移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1</w:t>
            </w:r>
          </w:p>
        </w:tc>
        <w:tc>
          <w:tcPr>
            <w:tcW w:w="2012"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可迁移元素最大限量</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 xml:space="preserve">GB 6675.4-2014 </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4.1</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 xml:space="preserve">GB 6675.4-2014 </w:t>
            </w:r>
          </w:p>
        </w:tc>
        <w:tc>
          <w:tcPr>
            <w:tcW w:w="92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c>
          <w:tcPr>
            <w:tcW w:w="834"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357" w:type="dxa"/>
            <w:gridSpan w:val="6"/>
            <w:vAlign w:val="center"/>
          </w:tcPr>
          <w:p>
            <w:pPr>
              <w:pStyle w:val="2"/>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五、增塑剂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1</w:t>
            </w:r>
          </w:p>
        </w:tc>
        <w:tc>
          <w:tcPr>
            <w:tcW w:w="2012"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DEHP、DBP、 DIDP、DINP、BBP、DNOP</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GB 6675.1-2014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 xml:space="preserve"> 5.3.7</w:t>
            </w:r>
          </w:p>
        </w:tc>
        <w:tc>
          <w:tcPr>
            <w:tcW w:w="2888"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GB/T 22048-2015</w:t>
            </w:r>
          </w:p>
        </w:tc>
        <w:tc>
          <w:tcPr>
            <w:tcW w:w="92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c>
          <w:tcPr>
            <w:tcW w:w="834"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357"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bCs/>
                <w:color w:val="auto"/>
                <w:kern w:val="0"/>
                <w:sz w:val="18"/>
                <w:szCs w:val="18"/>
                <w:highlight w:val="none"/>
              </w:rPr>
            </w:pPr>
            <w:r>
              <w:rPr>
                <w:rFonts w:hint="default" w:ascii="Times New Roman" w:hAnsi="Times New Roman" w:cs="Times New Roman"/>
                <w:bCs/>
                <w:color w:val="auto"/>
                <w:kern w:val="0"/>
                <w:sz w:val="18"/>
                <w:szCs w:val="18"/>
                <w:highlight w:val="none"/>
              </w:rPr>
              <w:t>a极重要质量项目。</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b重要质量项目。</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18"/>
                <w:szCs w:val="18"/>
                <w:highlight w:val="none"/>
                <w:lang w:val="en-US" w:eastAsia="zh-CN"/>
              </w:rPr>
              <w:t>适用范围内的玩具，对上列检验项目逐一进行检测时，遇不适用项目不进行判定，但检验报告应标明不适用项。</w:t>
            </w:r>
          </w:p>
        </w:tc>
      </w:tr>
    </w:tbl>
    <w:p>
      <w:pPr>
        <w:snapToGrid w:val="0"/>
        <w:spacing w:line="440" w:lineRule="exact"/>
        <w:ind w:firstLine="420" w:firstLineChars="200"/>
        <w:rPr>
          <w:rFonts w:hint="default" w:ascii="Times New Roman" w:hAnsi="Times New Roman" w:cs="Times New Roman"/>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凡是注日期的文件，其随后所有的修改单（不包括勘误的内容）或修订版不适用于本细则。凡是不注日期的文件，其最新版本适用于本细则。</w:t>
      </w:r>
    </w:p>
    <w:p>
      <w:pPr>
        <w:snapToGrid w:val="0"/>
        <w:spacing w:line="440" w:lineRule="exact"/>
        <w:ind w:firstLine="420" w:firstLineChars="200"/>
        <w:rPr>
          <w:rFonts w:hint="default" w:ascii="Times New Roman" w:hAnsi="Times New Roman" w:cs="Times New Roman"/>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3 判定规则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3.1依据标准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en-US"/>
        </w:rPr>
        <w:t>GB 6675</w:t>
      </w:r>
      <w:r>
        <w:rPr>
          <w:rFonts w:hint="default" w:ascii="Times New Roman" w:hAnsi="Times New Roman" w:cs="Times New Roman"/>
          <w:color w:val="auto"/>
          <w:szCs w:val="21"/>
          <w:highlight w:val="none"/>
          <w:lang w:val="en-US" w:eastAsia="zh-CN"/>
        </w:rPr>
        <w:t>.1-2014 《玩具安全 第1部分：基本规范》</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en-US"/>
        </w:rPr>
        <w:t>GB 6675</w:t>
      </w: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lang w:val="en-US" w:eastAsia="en-US"/>
        </w:rPr>
        <w:t>2014</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国家玩具安全 第2部分：机械与物理性能</w:t>
      </w:r>
      <w:r>
        <w:rPr>
          <w:rFonts w:hint="default" w:ascii="Times New Roman" w:hAnsi="Times New Roman" w:cs="Times New Roman"/>
          <w:color w:val="auto"/>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en-US"/>
        </w:rPr>
        <w:t>GB 6675.3</w:t>
      </w:r>
      <w:r>
        <w:rPr>
          <w:rFonts w:hint="default" w:ascii="Times New Roman" w:hAnsi="Times New Roman" w:cs="Times New Roman"/>
          <w:color w:val="auto"/>
          <w:szCs w:val="21"/>
          <w:highlight w:val="none"/>
          <w:lang w:val="en-US" w:eastAsia="zh-CN"/>
        </w:rPr>
        <w:t>-</w:t>
      </w:r>
      <w:r>
        <w:rPr>
          <w:rFonts w:hint="default" w:ascii="Times New Roman" w:hAnsi="Times New Roman" w:cs="Times New Roman"/>
          <w:color w:val="auto"/>
          <w:szCs w:val="21"/>
          <w:highlight w:val="none"/>
          <w:lang w:val="en-US" w:eastAsia="en-US"/>
        </w:rPr>
        <w:t>2014</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玩具安全 第3部分：易燃性能</w:t>
      </w:r>
      <w:r>
        <w:rPr>
          <w:rFonts w:hint="default" w:ascii="Times New Roman" w:hAnsi="Times New Roman" w:cs="Times New Roman"/>
          <w:color w:val="auto"/>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en-US"/>
        </w:rPr>
        <w:t>GB 6675.4</w:t>
      </w:r>
      <w:r>
        <w:rPr>
          <w:rFonts w:hint="default" w:ascii="Times New Roman" w:hAnsi="Times New Roman" w:cs="Times New Roman"/>
          <w:color w:val="auto"/>
          <w:szCs w:val="21"/>
          <w:highlight w:val="none"/>
          <w:lang w:val="en-US" w:eastAsia="zh-CN"/>
        </w:rPr>
        <w:t>-</w:t>
      </w:r>
      <w:r>
        <w:rPr>
          <w:rFonts w:hint="default" w:ascii="Times New Roman" w:hAnsi="Times New Roman" w:cs="Times New Roman"/>
          <w:color w:val="auto"/>
          <w:szCs w:val="21"/>
          <w:highlight w:val="none"/>
          <w:lang w:val="en-US" w:eastAsia="en-US"/>
        </w:rPr>
        <w:t xml:space="preserve">2014 </w:t>
      </w:r>
      <w:r>
        <w:rPr>
          <w:rFonts w:hint="default" w:ascii="Times New Roman" w:hAnsi="Times New Roman" w:cs="Times New Roman"/>
          <w:color w:val="auto"/>
          <w:szCs w:val="21"/>
          <w:highlight w:val="none"/>
          <w:lang w:val="en-US" w:eastAsia="zh-CN"/>
        </w:rPr>
        <w:t>《</w:t>
      </w:r>
      <w:r>
        <w:rPr>
          <w:rFonts w:hint="default" w:ascii="Times New Roman" w:hAnsi="Times New Roman" w:cs="Times New Roman"/>
          <w:color w:val="auto"/>
          <w:szCs w:val="21"/>
          <w:highlight w:val="none"/>
        </w:rPr>
        <w:t>玩具安全 第4部分：特定元素的迁移</w:t>
      </w:r>
      <w:r>
        <w:rPr>
          <w:rFonts w:hint="default" w:ascii="Times New Roman" w:hAnsi="Times New Roman" w:cs="Times New Roman"/>
          <w:color w:val="auto"/>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相关的法律、行政法规、部门规章、规范性文件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现行有效的企业标准、团体标准、地方标准及产品明示质量要求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3.2判定原则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99"/>
        <w:textAlignment w:val="auto"/>
        <w:outlineLvl w:val="9"/>
        <w:rPr>
          <w:rFonts w:hint="default" w:ascii="Times New Roman" w:hAnsi="Times New Roman" w:cs="Times New Roman"/>
          <w:color w:val="auto"/>
          <w:szCs w:val="21"/>
          <w:highlight w:val="none"/>
        </w:rPr>
      </w:pPr>
      <w:r>
        <w:rPr>
          <w:rFonts w:hint="default" w:ascii="Times New Roman" w:hAnsi="Times New Roman" w:cs="Times New Roman"/>
          <w:color w:val="000000"/>
          <w:szCs w:val="21"/>
        </w:rPr>
        <w:t>经检验，</w:t>
      </w:r>
      <w:r>
        <w:rPr>
          <w:rFonts w:hint="eastAsia" w:ascii="Times New Roman" w:hAnsi="Times New Roman" w:cs="Times New Roman"/>
          <w:color w:val="000000"/>
          <w:szCs w:val="21"/>
          <w:lang w:eastAsia="zh-CN"/>
        </w:rPr>
        <w:t>所</w:t>
      </w:r>
      <w:r>
        <w:rPr>
          <w:rFonts w:hint="default" w:ascii="Times New Roman" w:hAnsi="Times New Roman" w:cs="Times New Roman"/>
          <w:color w:val="000000"/>
          <w:szCs w:val="21"/>
        </w:rPr>
        <w:t>检验项目全部</w:t>
      </w:r>
      <w:r>
        <w:rPr>
          <w:rFonts w:hint="eastAsia" w:ascii="Times New Roman" w:hAnsi="Times New Roman" w:cs="Times New Roman"/>
          <w:color w:val="000000"/>
          <w:szCs w:val="21"/>
          <w:lang w:eastAsia="zh-CN"/>
        </w:rPr>
        <w:t>符合标准要求</w:t>
      </w:r>
      <w:r>
        <w:rPr>
          <w:rFonts w:hint="default" w:ascii="Times New Roman" w:hAnsi="Times New Roman" w:cs="Times New Roman"/>
          <w:color w:val="000000"/>
          <w:szCs w:val="21"/>
        </w:rPr>
        <w:t>，判定为被抽查产品</w:t>
      </w:r>
      <w:r>
        <w:rPr>
          <w:rFonts w:hint="eastAsia" w:ascii="Times New Roman" w:hAnsi="Times New Roman" w:cs="Times New Roman"/>
          <w:color w:val="000000"/>
          <w:szCs w:val="21"/>
          <w:lang w:eastAsia="zh-CN"/>
        </w:rPr>
        <w:t>未发现不</w:t>
      </w:r>
      <w:r>
        <w:rPr>
          <w:rFonts w:hint="default" w:ascii="Times New Roman" w:hAnsi="Times New Roman" w:cs="Times New Roman"/>
          <w:color w:val="000000"/>
          <w:szCs w:val="21"/>
        </w:rPr>
        <w:t>合格</w:t>
      </w:r>
      <w:r>
        <w:rPr>
          <w:rFonts w:hint="default" w:ascii="Times New Roman" w:hAnsi="Times New Roman" w:cs="Times New Roman"/>
          <w:color w:val="auto"/>
          <w:szCs w:val="21"/>
          <w:highlight w:val="none"/>
        </w:rPr>
        <w:t>；检验项目中任一项或一项以上不合格，判定为被抽查产品不合格。其中，当产品存在A类项目不合格或3项及以上B类项目不合格时，属于严重不合格。</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99"/>
        <w:textAlignment w:val="auto"/>
        <w:outlineLvl w:val="9"/>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99"/>
        <w:textAlignment w:val="auto"/>
        <w:outlineLvl w:val="9"/>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99"/>
        <w:textAlignment w:val="auto"/>
        <w:outlineLvl w:val="9"/>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若被检产品明示的质量要求低于或包含</w:t>
      </w:r>
      <w:r>
        <w:rPr>
          <w:rFonts w:hint="default" w:ascii="Times New Roman" w:hAnsi="Times New Roman" w:cs="Times New Roman"/>
          <w:color w:val="auto"/>
          <w:szCs w:val="21"/>
          <w:highlight w:val="none"/>
          <w:lang w:eastAsia="zh-CN"/>
        </w:rPr>
        <w:t>本</w:t>
      </w:r>
      <w:r>
        <w:rPr>
          <w:rFonts w:hint="default" w:ascii="Times New Roman" w:hAnsi="Times New Roman" w:cs="Times New Roman"/>
          <w:color w:val="auto"/>
          <w:szCs w:val="21"/>
          <w:highlight w:val="none"/>
        </w:rPr>
        <w:t>细则中检验项目依据的推荐性标准要求时，应以被检产品明示的质量要求判定，但应在检验报告备注中进行说明。</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99"/>
        <w:textAlignment w:val="auto"/>
        <w:outlineLvl w:val="9"/>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99"/>
        <w:textAlignment w:val="auto"/>
        <w:outlineLvl w:val="9"/>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rPr>
        <w:t>若被检产品明示的质量要求缺少本细则中检验项目依据的推荐性标准要求时，该项目不参与判定，但应在检验报告备注中进行说明。</w:t>
      </w:r>
    </w:p>
    <w:sectPr>
      <w:headerReference r:id="rId3" w:type="default"/>
      <w:footerReference r:id="rId4" w:type="default"/>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1024" behindDoc="1" locked="0" layoutInCell="1" allowOverlap="1">
              <wp:simplePos x="0" y="0"/>
              <wp:positionH relativeFrom="page">
                <wp:posOffset>539750</wp:posOffset>
              </wp:positionH>
              <wp:positionV relativeFrom="page">
                <wp:posOffset>385445</wp:posOffset>
              </wp:positionV>
              <wp:extent cx="5833745" cy="0"/>
              <wp:effectExtent l="0" t="0" r="0" b="0"/>
              <wp:wrapNone/>
              <wp:docPr id="49" name="Shape 49"/>
              <wp:cNvGraphicFramePr/>
              <a:graphic xmlns:a="http://schemas.openxmlformats.org/drawingml/2006/main">
                <a:graphicData uri="http://schemas.microsoft.com/office/word/2010/wordprocessingShape">
                  <wps:wsp>
                    <wps:cNvCnPr/>
                    <wps:spPr>
                      <a:xfrm>
                        <a:off x="0" y="0"/>
                        <a:ext cx="5833745" cy="0"/>
                      </a:xfrm>
                      <a:prstGeom prst="straightConnector1">
                        <a:avLst/>
                      </a:prstGeom>
                      <a:ln w="12700">
                        <a:solidFill>
                          <a:srgbClr val="FFFFFF"/>
                        </a:solidFill>
                      </a:ln>
                    </wps:spPr>
                    <wps:bodyPr/>
                  </wps:wsp>
                </a:graphicData>
              </a:graphic>
            </wp:anchor>
          </w:drawing>
        </mc:Choice>
        <mc:Fallback>
          <w:pict>
            <v:shape id="Shape 49" o:spid="_x0000_s1026" o:spt="32" type="#_x0000_t32" style="position:absolute;left:0pt;margin-left:42.5pt;margin-top:30.35pt;height:0pt;width:459.35pt;mso-position-horizontal-relative:page;mso-position-vertical-relative:page;z-index:-503315456;mso-width-relative:page;mso-height-relative:page;" filled="f" stroked="t" coordsize="21600,21600" o:gfxdata="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">
              <v:fill on="f" focussize="0,0"/>
              <v:stroke weight="1pt" color="#FFFFFF"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10A48"/>
    <w:rsid w:val="02010A48"/>
    <w:rsid w:val="03174EEE"/>
    <w:rsid w:val="065A2B25"/>
    <w:rsid w:val="09FD5535"/>
    <w:rsid w:val="0A302C2E"/>
    <w:rsid w:val="0B2907CE"/>
    <w:rsid w:val="0D7A0486"/>
    <w:rsid w:val="0ED37284"/>
    <w:rsid w:val="0F4511A1"/>
    <w:rsid w:val="14C46B77"/>
    <w:rsid w:val="170D081B"/>
    <w:rsid w:val="186C4D4D"/>
    <w:rsid w:val="1C007A7F"/>
    <w:rsid w:val="1E0557FF"/>
    <w:rsid w:val="2675255E"/>
    <w:rsid w:val="2DAD1560"/>
    <w:rsid w:val="2EF4191B"/>
    <w:rsid w:val="321A42AB"/>
    <w:rsid w:val="33517486"/>
    <w:rsid w:val="356E7C05"/>
    <w:rsid w:val="37382DDC"/>
    <w:rsid w:val="38671929"/>
    <w:rsid w:val="3AAD30CC"/>
    <w:rsid w:val="3EEB532E"/>
    <w:rsid w:val="40880DDA"/>
    <w:rsid w:val="43D218AF"/>
    <w:rsid w:val="4540275C"/>
    <w:rsid w:val="47AB60C3"/>
    <w:rsid w:val="4D12364D"/>
    <w:rsid w:val="4E8E0890"/>
    <w:rsid w:val="533D101F"/>
    <w:rsid w:val="54222E32"/>
    <w:rsid w:val="546B359A"/>
    <w:rsid w:val="566B2901"/>
    <w:rsid w:val="573D7D0F"/>
    <w:rsid w:val="5C624432"/>
    <w:rsid w:val="5DF55020"/>
    <w:rsid w:val="6B5E70F0"/>
    <w:rsid w:val="6E0B2DCA"/>
    <w:rsid w:val="74251B54"/>
    <w:rsid w:val="77117406"/>
    <w:rsid w:val="77A34B46"/>
    <w:rsid w:val="7AFA35AF"/>
    <w:rsid w:val="7FC76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semiHidden/>
    <w:qFormat/>
    <w:uiPriority w:val="99"/>
    <w:rPr>
      <w:rFonts w:ascii="宋体" w:hAnsi="Courier New"/>
      <w:kern w:val="0"/>
      <w:sz w:val="20"/>
      <w:szCs w:val="20"/>
    </w:rPr>
  </w:style>
  <w:style w:type="paragraph" w:styleId="3">
    <w:name w:val="footer"/>
    <w:basedOn w:val="1"/>
    <w:qFormat/>
    <w:uiPriority w:val="99"/>
    <w:pPr>
      <w:tabs>
        <w:tab w:val="center" w:pos="4153"/>
        <w:tab w:val="right" w:pos="8306"/>
      </w:tabs>
      <w:snapToGrid w:val="0"/>
      <w:jc w:val="left"/>
    </w:pPr>
    <w:rPr>
      <w:kern w:val="0"/>
      <w:sz w:val="18"/>
      <w:szCs w:val="18"/>
    </w:rPr>
  </w:style>
  <w:style w:type="character" w:styleId="5">
    <w:name w:val="FollowedHyperlink"/>
    <w:basedOn w:val="4"/>
    <w:qFormat/>
    <w:uiPriority w:val="0"/>
    <w:rPr>
      <w:color w:val="333333"/>
      <w:u w:val="none"/>
    </w:rPr>
  </w:style>
  <w:style w:type="character" w:styleId="6">
    <w:name w:val="Hyperlink"/>
    <w:basedOn w:val="4"/>
    <w:qFormat/>
    <w:uiPriority w:val="0"/>
    <w:rPr>
      <w:color w:val="333333"/>
      <w:u w:val="none"/>
    </w:rPr>
  </w:style>
  <w:style w:type="paragraph" w:customStyle="1" w:styleId="8">
    <w:name w:val="Body text|1"/>
    <w:basedOn w:val="1"/>
    <w:qFormat/>
    <w:uiPriority w:val="0"/>
    <w:pPr>
      <w:widowControl w:val="0"/>
      <w:shd w:val="clear" w:color="auto" w:fill="auto"/>
      <w:spacing w:line="350" w:lineRule="auto"/>
      <w:ind w:firstLine="400"/>
    </w:pPr>
    <w:rPr>
      <w:rFonts w:ascii="宋体" w:hAnsi="宋体" w:eastAsia="宋体" w:cs="宋体"/>
      <w:sz w:val="19"/>
      <w:szCs w:val="19"/>
      <w:u w:val="none"/>
      <w:shd w:val="clear" w:color="auto" w:fill="auto"/>
      <w:lang w:val="zh-TW" w:eastAsia="zh-TW" w:bidi="zh-TW"/>
    </w:rPr>
  </w:style>
  <w:style w:type="paragraph" w:customStyle="1" w:styleId="9">
    <w:name w:val="Header or footer|2"/>
    <w:basedOn w:val="1"/>
    <w:qFormat/>
    <w:uiPriority w:val="0"/>
    <w:pPr>
      <w:widowControl w:val="0"/>
      <w:shd w:val="clear" w:color="auto" w:fill="auto"/>
    </w:pPr>
    <w:rPr>
      <w:sz w:val="20"/>
      <w:szCs w:val="20"/>
      <w:u w:val="none"/>
      <w:shd w:val="clear" w:color="auto" w:fill="auto"/>
    </w:rPr>
  </w:style>
  <w:style w:type="paragraph" w:customStyle="1" w:styleId="10">
    <w:name w:val="列项·"/>
    <w:qFormat/>
    <w:uiPriority w:val="99"/>
    <w:pPr>
      <w:tabs>
        <w:tab w:val="left" w:pos="840"/>
      </w:tabs>
      <w:ind w:left="420"/>
      <w:jc w:val="both"/>
    </w:pPr>
    <w:rPr>
      <w:rFonts w:ascii="宋体" w:hAnsi="Times New Roman" w:eastAsia="宋体" w:cs="Times New Roman"/>
      <w:sz w:val="21"/>
      <w:lang w:val="en-US" w:eastAsia="zh-CN" w:bidi="ar-SA"/>
    </w:rPr>
  </w:style>
  <w:style w:type="character" w:customStyle="1" w:styleId="11">
    <w:name w:val="file"/>
    <w:basedOn w:val="4"/>
    <w:qFormat/>
    <w:uiPriority w:val="0"/>
  </w:style>
  <w:style w:type="character" w:customStyle="1" w:styleId="12">
    <w:name w:val="folder"/>
    <w:basedOn w:val="4"/>
    <w:qFormat/>
    <w:uiPriority w:val="0"/>
  </w:style>
  <w:style w:type="character" w:customStyle="1" w:styleId="13">
    <w:name w:val="l-open"/>
    <w:basedOn w:val="4"/>
    <w:qFormat/>
    <w:uiPriority w:val="0"/>
  </w:style>
  <w:style w:type="character" w:customStyle="1" w:styleId="14">
    <w:name w:val="zbutton"/>
    <w:basedOn w:val="4"/>
    <w:qFormat/>
    <w:uiPriority w:val="0"/>
  </w:style>
  <w:style w:type="character" w:customStyle="1" w:styleId="15">
    <w:name w:val="tmpztreemove_arrow"/>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2020-01-10T01:30:00Z</dcterms:created>
  <dc:creator>N世界的孩子</dc:creator>
  <cp:lastModifiedBy>冯家宝</cp:lastModifiedBy>
  <dcterms:modified xsi:type="dcterms:W3CDTF">2020-01-31T07:29:30Z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