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Times New Roman" w:hAnsi="Times New Roman" w:eastAsia="方正小标宋简体" w:cs="Times New Roman"/>
          <w:color w:val="auto"/>
          <w:sz w:val="32"/>
          <w:szCs w:val="32"/>
        </w:rPr>
      </w:pPr>
      <w:bookmarkStart w:id="1" w:name="_GoBack"/>
      <w:bookmarkEnd w:id="1"/>
      <w:bookmarkStart w:id="0" w:name="OLE_LINK1"/>
      <w:r>
        <w:rPr>
          <w:rFonts w:hint="default" w:ascii="Times New Roman" w:hAnsi="Times New Roman" w:eastAsia="方正小标宋简体" w:cs="Times New Roman"/>
          <w:color w:val="auto"/>
          <w:sz w:val="32"/>
          <w:szCs w:val="32"/>
          <w:lang w:eastAsia="zh-CN"/>
        </w:rPr>
        <w:t>广州市</w:t>
      </w:r>
      <w:r>
        <w:rPr>
          <w:rFonts w:hint="eastAsia" w:ascii="Times New Roman" w:hAnsi="Times New Roman" w:eastAsia="方正小标宋简体" w:cs="Times New Roman"/>
          <w:color w:val="auto"/>
          <w:sz w:val="32"/>
          <w:szCs w:val="32"/>
          <w:lang w:eastAsia="zh-CN"/>
        </w:rPr>
        <w:t>市场监督管理局</w:t>
      </w:r>
      <w:bookmarkEnd w:id="0"/>
      <w:r>
        <w:rPr>
          <w:rFonts w:hint="default" w:ascii="Times New Roman" w:hAnsi="Times New Roman" w:eastAsia="方正小标宋简体" w:cs="Times New Roman"/>
          <w:color w:val="auto"/>
          <w:sz w:val="32"/>
          <w:szCs w:val="32"/>
          <w:lang w:eastAsia="zh-CN"/>
        </w:rPr>
        <w:t>童车</w:t>
      </w:r>
      <w:r>
        <w:rPr>
          <w:rFonts w:hint="default" w:ascii="Times New Roman" w:hAnsi="Times New Roman" w:eastAsia="方正小标宋简体" w:cs="Times New Roman"/>
          <w:color w:val="auto"/>
          <w:sz w:val="32"/>
          <w:szCs w:val="32"/>
        </w:rPr>
        <w:t>产品质量监督抽查实施</w:t>
      </w:r>
      <w:r>
        <w:rPr>
          <w:rFonts w:hint="default" w:ascii="Times New Roman" w:hAnsi="Times New Roman" w:eastAsia="方正小标宋简体" w:cs="Times New Roman"/>
          <w:color w:val="auto"/>
          <w:sz w:val="32"/>
          <w:szCs w:val="32"/>
          <w:lang w:eastAsia="zh-CN"/>
        </w:rPr>
        <w:t>细则</w:t>
      </w:r>
    </w:p>
    <w:p>
      <w:pPr>
        <w:snapToGrid w:val="0"/>
        <w:spacing w:line="440" w:lineRule="exact"/>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1 抽样方法</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在企业的待销产品中随机抽取有产品质量检验合格证明或者以其他形式表明合格的、近期生产的产品。</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抽查样品基数满足抽样数量即可。</w:t>
      </w:r>
    </w:p>
    <w:p>
      <w:pPr>
        <w:snapToGrid w:val="0"/>
        <w:spacing w:line="440" w:lineRule="exact"/>
        <w:ind w:firstLine="420" w:firstLineChars="200"/>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eastAsia="zh-CN"/>
        </w:rPr>
        <w:t>每批次样品共抽取</w:t>
      </w:r>
      <w:r>
        <w:rPr>
          <w:rFonts w:hint="eastAsia" w:ascii="Times New Roman" w:hAnsi="Times New Roman" w:cs="Times New Roman"/>
          <w:color w:val="auto"/>
          <w:szCs w:val="21"/>
          <w:lang w:val="en-US" w:eastAsia="zh-CN"/>
        </w:rPr>
        <w:t>3</w:t>
      </w:r>
      <w:r>
        <w:rPr>
          <w:rFonts w:hint="default" w:ascii="Times New Roman" w:hAnsi="Times New Roman" w:cs="Times New Roman"/>
          <w:color w:val="auto"/>
          <w:szCs w:val="21"/>
          <w:lang w:val="en-US" w:eastAsia="zh-CN"/>
        </w:rPr>
        <w:t>辆，其中2辆作为检验样品，1辆作为备用样品。</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随机数一般可使用随机数表、随机数骰子或扑克牌等方法产生。</w:t>
      </w:r>
    </w:p>
    <w:p>
      <w:pPr>
        <w:snapToGrid w:val="0"/>
        <w:spacing w:line="440" w:lineRule="exact"/>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2 检验依据</w:t>
      </w:r>
    </w:p>
    <w:p>
      <w:pPr>
        <w:snapToGrid w:val="0"/>
        <w:spacing w:line="440" w:lineRule="exact"/>
        <w:ind w:firstLine="420" w:firstLineChars="200"/>
        <w:jc w:val="left"/>
        <w:rPr>
          <w:rFonts w:hint="default" w:ascii="Times New Roman" w:hAnsi="Times New Roman" w:cs="Times New Roman"/>
          <w:color w:val="auto"/>
          <w:szCs w:val="21"/>
        </w:rPr>
      </w:pPr>
      <w:r>
        <w:rPr>
          <w:rFonts w:hint="default" w:ascii="Times New Roman" w:hAnsi="Times New Roman" w:cs="Times New Roman"/>
          <w:color w:val="auto"/>
          <w:szCs w:val="21"/>
        </w:rPr>
        <w:t>本次抽查检验项目和检验方法依据见表</w:t>
      </w:r>
      <w:r>
        <w:rPr>
          <w:rFonts w:hint="default" w:ascii="Times New Roman" w:hAnsi="Times New Roman" w:cs="Times New Roman"/>
          <w:color w:val="auto"/>
          <w:szCs w:val="21"/>
          <w:lang w:val="en-US" w:eastAsia="zh-CN"/>
        </w:rPr>
        <w:t>1-表3</w:t>
      </w:r>
      <w:r>
        <w:rPr>
          <w:rFonts w:hint="default" w:ascii="Times New Roman" w:hAnsi="Times New Roman" w:cs="Times New Roman"/>
          <w:color w:val="auto"/>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outlineLvl w:val="9"/>
        <w:rPr>
          <w:rFonts w:hint="default" w:ascii="Times New Roman" w:hAnsi="Times New Roman" w:cs="Times New Roman"/>
          <w:color w:val="auto"/>
          <w:szCs w:val="21"/>
          <w:lang w:val="zh-CN" w:eastAsia="zh-CN"/>
        </w:rPr>
      </w:pPr>
      <w:r>
        <w:rPr>
          <w:rFonts w:hint="default" w:ascii="Times New Roman" w:hAnsi="Times New Roman" w:cs="Times New Roman" w:eastAsiaTheme="minorEastAsia"/>
          <w:color w:val="auto"/>
          <w:kern w:val="0"/>
          <w:sz w:val="21"/>
          <w:szCs w:val="21"/>
        </w:rPr>
        <w:t>表</w:t>
      </w:r>
      <w:r>
        <w:rPr>
          <w:rFonts w:hint="default" w:ascii="Times New Roman" w:hAnsi="Times New Roman" w:cs="Times New Roman" w:eastAsiaTheme="minorEastAsia"/>
          <w:color w:val="auto"/>
          <w:kern w:val="0"/>
          <w:sz w:val="21"/>
          <w:szCs w:val="21"/>
          <w:lang w:val="en-US" w:eastAsia="zh-CN"/>
        </w:rPr>
        <w:t>1</w:t>
      </w:r>
      <w:r>
        <w:rPr>
          <w:rFonts w:hint="default" w:ascii="Times New Roman" w:hAnsi="Times New Roman" w:cs="Times New Roman" w:eastAsiaTheme="minorEastAsia"/>
          <w:color w:val="auto"/>
          <w:kern w:val="0"/>
          <w:sz w:val="21"/>
          <w:szCs w:val="21"/>
        </w:rPr>
        <w:t xml:space="preserve">  儿童推车检验项目</w:t>
      </w:r>
    </w:p>
    <w:tbl>
      <w:tblPr>
        <w:tblStyle w:val="7"/>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46"/>
        <w:gridCol w:w="1917"/>
        <w:gridCol w:w="2689"/>
        <w:gridCol w:w="2661"/>
        <w:gridCol w:w="730"/>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vMerge w:val="restart"/>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序号</w:t>
            </w:r>
          </w:p>
        </w:tc>
        <w:tc>
          <w:tcPr>
            <w:tcW w:w="1917" w:type="dxa"/>
            <w:vMerge w:val="restart"/>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检验项目</w:t>
            </w:r>
          </w:p>
        </w:tc>
        <w:tc>
          <w:tcPr>
            <w:tcW w:w="2689" w:type="dxa"/>
            <w:vMerge w:val="restart"/>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lang w:eastAsia="zh-CN"/>
              </w:rPr>
              <w:t>检验依据</w:t>
            </w:r>
          </w:p>
        </w:tc>
        <w:tc>
          <w:tcPr>
            <w:tcW w:w="2661" w:type="dxa"/>
            <w:vMerge w:val="restart"/>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检验方法</w:t>
            </w:r>
          </w:p>
        </w:tc>
        <w:tc>
          <w:tcPr>
            <w:tcW w:w="1465" w:type="dxa"/>
            <w:gridSpan w:val="2"/>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p>
        </w:tc>
        <w:tc>
          <w:tcPr>
            <w:tcW w:w="1917"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p>
        </w:tc>
        <w:tc>
          <w:tcPr>
            <w:tcW w:w="2689"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p>
        </w:tc>
        <w:tc>
          <w:tcPr>
            <w:tcW w:w="2661"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rPr>
              <w:t>A类</w:t>
            </w:r>
            <w:r>
              <w:rPr>
                <w:rFonts w:hint="default" w:ascii="Times New Roman" w:hAnsi="Times New Roman" w:cs="Times New Roman"/>
                <w:color w:val="auto"/>
                <w:sz w:val="21"/>
                <w:szCs w:val="21"/>
                <w:highlight w:val="none"/>
                <w:vertAlign w:val="superscript"/>
                <w:lang w:val="en-US" w:eastAsia="zh-CN"/>
              </w:rPr>
              <w:t>a</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rPr>
              <w:t>B类</w:t>
            </w:r>
            <w:r>
              <w:rPr>
                <w:rFonts w:hint="default" w:ascii="Times New Roman" w:hAnsi="Times New Roman" w:cs="Times New Roman"/>
                <w:color w:val="auto"/>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8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材料质量</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4.1.1</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4.1.1</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8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2</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特定可迁移元素最大限量</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4.1.2</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5. </w:t>
            </w:r>
            <w:r>
              <w:rPr>
                <w:rFonts w:hint="default" w:ascii="Times New Roman" w:hAnsi="Times New Roman" w:cs="Times New Roman"/>
                <w:color w:val="auto"/>
                <w:spacing w:val="0"/>
                <w:w w:val="100"/>
                <w:position w:val="0"/>
                <w:sz w:val="21"/>
                <w:szCs w:val="21"/>
              </w:rPr>
              <w:t>6</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8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3</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金属表面</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4.2</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4.2</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8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4</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燃烧性能</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 </w:t>
            </w:r>
            <w:r>
              <w:rPr>
                <w:rFonts w:hint="default" w:ascii="Times New Roman" w:hAnsi="Times New Roman" w:cs="Times New Roman"/>
                <w:color w:val="auto"/>
                <w:spacing w:val="0"/>
                <w:w w:val="100"/>
                <w:position w:val="0"/>
                <w:sz w:val="21"/>
                <w:szCs w:val="21"/>
              </w:rPr>
              <w:t>3</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 </w:t>
            </w:r>
            <w:r>
              <w:rPr>
                <w:rFonts w:hint="default" w:ascii="Times New Roman" w:hAnsi="Times New Roman" w:cs="Times New Roman"/>
                <w:color w:val="auto"/>
                <w:spacing w:val="0"/>
                <w:w w:val="100"/>
                <w:position w:val="0"/>
                <w:sz w:val="21"/>
                <w:szCs w:val="21"/>
              </w:rPr>
              <w:t>3</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8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5</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外</w:t>
            </w:r>
            <w:r>
              <w:rPr>
                <w:rFonts w:hint="default" w:ascii="Times New Roman" w:hAnsi="Times New Roman" w:cs="Times New Roman"/>
                <w:color w:val="auto"/>
                <w:spacing w:val="0"/>
                <w:w w:val="100"/>
                <w:position w:val="0"/>
                <w:sz w:val="21"/>
                <w:szCs w:val="21"/>
                <w:lang w:eastAsia="zh-CN"/>
              </w:rPr>
              <w:t>露</w:t>
            </w:r>
            <w:r>
              <w:rPr>
                <w:rFonts w:hint="default" w:ascii="Times New Roman" w:hAnsi="Times New Roman" w:cs="Times New Roman"/>
                <w:color w:val="auto"/>
                <w:spacing w:val="0"/>
                <w:w w:val="100"/>
                <w:position w:val="0"/>
                <w:sz w:val="21"/>
                <w:szCs w:val="21"/>
              </w:rPr>
              <w:t>的开口管子</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4.4.1</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4. 4. </w:t>
            </w:r>
            <w:r>
              <w:rPr>
                <w:rFonts w:hint="default" w:ascii="Times New Roman" w:hAnsi="Times New Roman" w:cs="Times New Roman"/>
                <w:color w:val="auto"/>
                <w:spacing w:val="0"/>
                <w:w w:val="100"/>
                <w:position w:val="0"/>
                <w:sz w:val="21"/>
                <w:szCs w:val="21"/>
              </w:rPr>
              <w:t>1</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8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6</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危险夹缝</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4.4.2. </w:t>
            </w:r>
            <w:r>
              <w:rPr>
                <w:rFonts w:hint="default" w:ascii="Times New Roman" w:hAnsi="Times New Roman" w:cs="Times New Roman"/>
                <w:color w:val="auto"/>
                <w:spacing w:val="0"/>
                <w:w w:val="100"/>
                <w:position w:val="0"/>
                <w:sz w:val="21"/>
                <w:szCs w:val="21"/>
              </w:rPr>
              <w:t>1</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highlight w:val="none"/>
                <w:lang w:val="en-US" w:eastAsia="zh-CN" w:bidi="en-US"/>
              </w:rPr>
              <w:t xml:space="preserve"> </w:t>
            </w:r>
            <w:r>
              <w:rPr>
                <w:rFonts w:hint="default" w:ascii="Times New Roman" w:hAnsi="Times New Roman" w:cs="Times New Roman"/>
                <w:color w:val="auto"/>
                <w:spacing w:val="0"/>
                <w:w w:val="100"/>
                <w:position w:val="0"/>
                <w:sz w:val="21"/>
                <w:szCs w:val="21"/>
                <w:highlight w:val="none"/>
                <w:lang w:val="en-US" w:eastAsia="en-US" w:bidi="en-US"/>
              </w:rPr>
              <w:t>5.7a</w:t>
            </w:r>
            <w:r>
              <w:rPr>
                <w:rFonts w:hint="default" w:ascii="Times New Roman" w:hAnsi="Times New Roman" w:eastAsia="Times New Roman" w:cs="Times New Roman"/>
                <w:color w:val="auto"/>
                <w:spacing w:val="0"/>
                <w:w w:val="100"/>
                <w:position w:val="0"/>
                <w:sz w:val="21"/>
                <w:szCs w:val="21"/>
                <w:highlight w:val="none"/>
                <w:lang w:val="en-US" w:eastAsia="en-US" w:bidi="en-US"/>
              </w:rPr>
              <w:t xml:space="preserve">) </w:t>
            </w:r>
            <w:r>
              <w:rPr>
                <w:rFonts w:hint="default" w:ascii="Times New Roman" w:hAnsi="Times New Roman" w:cs="Times New Roman"/>
                <w:color w:val="auto"/>
                <w:spacing w:val="0"/>
                <w:w w:val="100"/>
                <w:position w:val="0"/>
                <w:sz w:val="21"/>
                <w:szCs w:val="21"/>
                <w:highlight w:val="none"/>
                <w:lang w:val="en-US" w:eastAsia="zh-CN" w:bidi="en-US"/>
              </w:rPr>
              <w:t>；5.7</w:t>
            </w:r>
            <w:r>
              <w:rPr>
                <w:rFonts w:hint="default" w:ascii="Times New Roman" w:hAnsi="Times New Roman" w:cs="Times New Roman"/>
                <w:color w:val="auto"/>
                <w:spacing w:val="0"/>
                <w:w w:val="100"/>
                <w:position w:val="0"/>
                <w:sz w:val="21"/>
                <w:szCs w:val="21"/>
                <w:highlight w:val="none"/>
                <w:lang w:val="en-US" w:eastAsia="en-US" w:bidi="en-US"/>
              </w:rPr>
              <w:t>b</w:t>
            </w:r>
            <w:r>
              <w:rPr>
                <w:rFonts w:hint="default" w:ascii="Times New Roman" w:hAnsi="Times New Roman" w:eastAsia="Times New Roman" w:cs="Times New Roman"/>
                <w:color w:val="auto"/>
                <w:spacing w:val="0"/>
                <w:w w:val="100"/>
                <w:position w:val="0"/>
                <w:sz w:val="21"/>
                <w:szCs w:val="21"/>
                <w:highlight w:val="none"/>
                <w:lang w:val="en-US" w:eastAsia="en-US" w:bidi="en-US"/>
              </w:rPr>
              <w:t>)</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8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7</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剪切和挤夹点</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rPr>
              <w:t>4.4.2.2</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5.7a</w:t>
            </w:r>
            <w:r>
              <w:rPr>
                <w:rFonts w:hint="default" w:ascii="Times New Roman" w:hAnsi="Times New Roman" w:eastAsia="Times New Roman" w:cs="Times New Roman"/>
                <w:color w:val="auto"/>
                <w:spacing w:val="0"/>
                <w:w w:val="100"/>
                <w:position w:val="0"/>
                <w:sz w:val="21"/>
                <w:szCs w:val="21"/>
                <w:lang w:val="en-US" w:eastAsia="en-US" w:bidi="en-US"/>
              </w:rPr>
              <w:t>)</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8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8</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锐利边缘和尖端</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4.4.3</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GB6675-2003 A5.8；A5. 9</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vMerge w:val="restart"/>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8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9</w:t>
            </w:r>
          </w:p>
        </w:tc>
        <w:tc>
          <w:tcPr>
            <w:tcW w:w="1917" w:type="dxa"/>
            <w:vMerge w:val="restart"/>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小零件</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4.4.4. </w:t>
            </w:r>
            <w:r>
              <w:rPr>
                <w:rFonts w:hint="default" w:ascii="Times New Roman" w:hAnsi="Times New Roman" w:cs="Times New Roman"/>
                <w:color w:val="auto"/>
                <w:spacing w:val="0"/>
                <w:w w:val="100"/>
                <w:position w:val="0"/>
                <w:sz w:val="21"/>
                <w:szCs w:val="21"/>
              </w:rPr>
              <w:t>1</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4.4.4.1</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vMerge w:val="continue"/>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80"/>
              <w:jc w:val="left"/>
              <w:textAlignment w:val="auto"/>
              <w:rPr>
                <w:rFonts w:hint="default" w:ascii="Times New Roman" w:hAnsi="Times New Roman" w:cs="Times New Roman"/>
                <w:color w:val="auto"/>
                <w:sz w:val="21"/>
                <w:szCs w:val="21"/>
              </w:rPr>
            </w:pPr>
          </w:p>
        </w:tc>
        <w:tc>
          <w:tcPr>
            <w:tcW w:w="1917" w:type="dxa"/>
            <w:vMerge w:val="continue"/>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rPr>
              <w:t>4.4.4.2</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4.4.4.2</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vMerge w:val="continue"/>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p>
        </w:tc>
        <w:tc>
          <w:tcPr>
            <w:tcW w:w="1917" w:type="dxa"/>
            <w:vMerge w:val="continue"/>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4.4.4. </w:t>
            </w:r>
            <w:r>
              <w:rPr>
                <w:rFonts w:hint="default" w:ascii="Times New Roman" w:hAnsi="Times New Roman" w:cs="Times New Roman"/>
                <w:color w:val="auto"/>
                <w:spacing w:val="0"/>
                <w:w w:val="100"/>
                <w:position w:val="0"/>
                <w:sz w:val="21"/>
                <w:szCs w:val="21"/>
              </w:rPr>
              <w:t>3</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4.4.4.3</w:t>
            </w:r>
          </w:p>
        </w:tc>
        <w:tc>
          <w:tcPr>
            <w:tcW w:w="730" w:type="dxa"/>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3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4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10</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外露突出物</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4.4.5</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4. 4. 5</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vMerge w:val="restart"/>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11</w:t>
            </w:r>
          </w:p>
        </w:tc>
        <w:tc>
          <w:tcPr>
            <w:tcW w:w="1917" w:type="dxa"/>
            <w:vMerge w:val="restart"/>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机械部件的连接</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4.4.6.1</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4.4.6.1</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p>
        </w:tc>
        <w:tc>
          <w:tcPr>
            <w:tcW w:w="1917"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rPr>
              <w:t>4.4.6.2</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4.4.6.2</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4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12</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卧兜的最小内部高度</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4. 5. </w:t>
            </w:r>
            <w:r>
              <w:rPr>
                <w:rFonts w:hint="default" w:ascii="Times New Roman" w:hAnsi="Times New Roman" w:cs="Times New Roman"/>
                <w:color w:val="auto"/>
                <w:spacing w:val="0"/>
                <w:w w:val="100"/>
                <w:position w:val="0"/>
                <w:sz w:val="21"/>
                <w:szCs w:val="21"/>
              </w:rPr>
              <w:t>1</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4. 5. 1</w:t>
            </w:r>
          </w:p>
        </w:tc>
        <w:tc>
          <w:tcPr>
            <w:tcW w:w="730" w:type="dxa"/>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30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13</w:t>
            </w:r>
          </w:p>
        </w:tc>
        <w:tc>
          <w:tcPr>
            <w:tcW w:w="1917" w:type="dxa"/>
            <w:tcBorders>
              <w:tl2br w:val="nil"/>
              <w:tr2bl w:val="nil"/>
            </w:tcBorders>
            <w:shd w:val="clear" w:color="auto" w:fill="FFFFFF"/>
            <w:vAlign w:val="top"/>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座兜的座垫与靠背的角度和靠背的高度</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4.5.2</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5. 9</w:t>
            </w:r>
            <w:r>
              <w:rPr>
                <w:rFonts w:hint="default" w:ascii="Times New Roman" w:hAnsi="Times New Roman" w:cs="Times New Roman"/>
                <w:color w:val="auto"/>
                <w:spacing w:val="0"/>
                <w:w w:val="100"/>
                <w:position w:val="0"/>
                <w:sz w:val="21"/>
                <w:szCs w:val="21"/>
                <w:lang w:val="en-US" w:eastAsia="zh-CN" w:bidi="en-US"/>
              </w:rPr>
              <w:t>；5.</w:t>
            </w:r>
            <w:r>
              <w:rPr>
                <w:rFonts w:hint="default" w:ascii="Times New Roman" w:hAnsi="Times New Roman" w:cs="Times New Roman"/>
                <w:color w:val="auto"/>
                <w:spacing w:val="0"/>
                <w:w w:val="100"/>
                <w:position w:val="0"/>
                <w:sz w:val="21"/>
                <w:szCs w:val="21"/>
                <w:lang w:val="en-US" w:eastAsia="en-US" w:bidi="en-US"/>
              </w:rPr>
              <w:t>10</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4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14</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推车的适用年龄</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 </w:t>
            </w:r>
            <w:r>
              <w:rPr>
                <w:rFonts w:hint="default" w:ascii="Times New Roman" w:hAnsi="Times New Roman" w:cs="Times New Roman"/>
                <w:color w:val="auto"/>
                <w:spacing w:val="0"/>
                <w:w w:val="100"/>
                <w:position w:val="0"/>
                <w:sz w:val="21"/>
                <w:szCs w:val="21"/>
              </w:rPr>
              <w:t>6</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4.6</w:t>
            </w:r>
            <w:r>
              <w:rPr>
                <w:rFonts w:hint="default" w:ascii="Times New Roman" w:hAnsi="Times New Roman" w:cs="Times New Roman"/>
                <w:color w:val="auto"/>
                <w:spacing w:val="0"/>
                <w:w w:val="100"/>
                <w:position w:val="0"/>
                <w:sz w:val="21"/>
                <w:szCs w:val="21"/>
                <w:lang w:val="en-US" w:eastAsia="zh-CN" w:bidi="en-US"/>
              </w:rPr>
              <w:t>；5.</w:t>
            </w:r>
            <w:r>
              <w:rPr>
                <w:rFonts w:hint="default" w:ascii="Times New Roman" w:hAnsi="Times New Roman" w:cs="Times New Roman"/>
                <w:color w:val="auto"/>
                <w:spacing w:val="0"/>
                <w:w w:val="100"/>
                <w:position w:val="0"/>
                <w:sz w:val="21"/>
                <w:szCs w:val="21"/>
                <w:lang w:val="en-US" w:eastAsia="en-US" w:bidi="en-US"/>
              </w:rPr>
              <w:t>21</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4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15</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卧兜和座兜连接在车架上的装置</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 </w:t>
            </w:r>
            <w:r>
              <w:rPr>
                <w:rFonts w:hint="default" w:ascii="Times New Roman" w:hAnsi="Times New Roman" w:cs="Times New Roman"/>
                <w:color w:val="auto"/>
                <w:spacing w:val="0"/>
                <w:w w:val="100"/>
                <w:position w:val="0"/>
                <w:sz w:val="21"/>
                <w:szCs w:val="21"/>
              </w:rPr>
              <w:t>7</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4. 7</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4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16</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稳定性</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4.8</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5.11</w:t>
            </w:r>
          </w:p>
        </w:tc>
        <w:tc>
          <w:tcPr>
            <w:tcW w:w="730"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zh-CN" w:eastAsia="zh-CN" w:bidi="zh-CN"/>
              </w:rPr>
              <w:t>、</w:t>
            </w:r>
          </w:p>
        </w:tc>
        <w:tc>
          <w:tcPr>
            <w:tcW w:w="735" w:type="dxa"/>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4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17</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pacing w:val="0"/>
                <w:w w:val="100"/>
                <w:position w:val="0"/>
                <w:sz w:val="21"/>
                <w:szCs w:val="21"/>
              </w:rPr>
              <w:t>手把强度</w:t>
            </w:r>
            <w:r>
              <w:rPr>
                <w:rFonts w:hint="default" w:ascii="Times New Roman" w:hAnsi="Times New Roman" w:cs="Times New Roman"/>
                <w:color w:val="auto"/>
                <w:spacing w:val="0"/>
                <w:w w:val="100"/>
                <w:position w:val="0"/>
                <w:sz w:val="21"/>
                <w:szCs w:val="21"/>
                <w:vertAlign w:val="superscript"/>
                <w:lang w:val="en-US" w:eastAsia="zh-CN"/>
              </w:rPr>
              <w:t>c</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 </w:t>
            </w:r>
            <w:r>
              <w:rPr>
                <w:rFonts w:hint="default" w:ascii="Times New Roman" w:hAnsi="Times New Roman" w:cs="Times New Roman"/>
                <w:color w:val="auto"/>
                <w:spacing w:val="0"/>
                <w:w w:val="100"/>
                <w:position w:val="0"/>
                <w:sz w:val="21"/>
                <w:szCs w:val="21"/>
              </w:rPr>
              <w:t>9</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5.12</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18</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制动装置</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rPr>
              <w:t>4 10</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zh-CN" w:bidi="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 xml:space="preserve">5.13. </w:t>
            </w:r>
            <w:r>
              <w:rPr>
                <w:rFonts w:hint="default" w:ascii="Times New Roman" w:hAnsi="Times New Roman" w:cs="Times New Roman"/>
                <w:color w:val="auto"/>
                <w:spacing w:val="0"/>
                <w:w w:val="100"/>
                <w:position w:val="0"/>
                <w:sz w:val="21"/>
                <w:szCs w:val="21"/>
              </w:rPr>
              <w:t>3〜</w:t>
            </w:r>
            <w:r>
              <w:rPr>
                <w:rFonts w:hint="default" w:ascii="Times New Roman" w:hAnsi="Times New Roman" w:cs="Times New Roman"/>
                <w:color w:val="auto"/>
                <w:spacing w:val="0"/>
                <w:w w:val="100"/>
                <w:position w:val="0"/>
                <w:sz w:val="21"/>
                <w:szCs w:val="21"/>
                <w:lang w:val="en-US" w:eastAsia="en-US"/>
              </w:rPr>
              <w:t>5.13. 6</w:t>
            </w:r>
            <w:r>
              <w:rPr>
                <w:rFonts w:hint="default" w:ascii="Times New Roman" w:hAnsi="Times New Roman" w:cs="Times New Roman"/>
                <w:color w:val="auto"/>
                <w:spacing w:val="0"/>
                <w:w w:val="100"/>
                <w:position w:val="0"/>
                <w:sz w:val="21"/>
                <w:szCs w:val="21"/>
                <w:lang w:val="en-US" w:eastAsia="zh-CN"/>
              </w:rPr>
              <w:t>；5.</w:t>
            </w:r>
            <w:r>
              <w:rPr>
                <w:rFonts w:hint="default" w:ascii="Times New Roman" w:hAnsi="Times New Roman" w:cs="Times New Roman"/>
                <w:color w:val="auto"/>
                <w:spacing w:val="0"/>
                <w:w w:val="100"/>
                <w:position w:val="0"/>
                <w:sz w:val="21"/>
                <w:szCs w:val="21"/>
                <w:lang w:val="en-US" w:eastAsia="en-US"/>
              </w:rPr>
              <w:t>18</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19</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折叠锁定装置</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4.11</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bidi="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4.11</w:t>
            </w:r>
            <w:r>
              <w:rPr>
                <w:rFonts w:hint="default" w:ascii="Times New Roman" w:hAnsi="Times New Roman" w:cs="Times New Roman"/>
                <w:color w:val="auto"/>
                <w:spacing w:val="0"/>
                <w:w w:val="100"/>
                <w:position w:val="0"/>
                <w:sz w:val="21"/>
                <w:szCs w:val="21"/>
                <w:lang w:val="en-US" w:eastAsia="zh-CN"/>
              </w:rPr>
              <w:t>；5.</w:t>
            </w:r>
            <w:r>
              <w:rPr>
                <w:rFonts w:hint="default" w:ascii="Times New Roman" w:hAnsi="Times New Roman" w:cs="Times New Roman"/>
                <w:color w:val="auto"/>
                <w:spacing w:val="0"/>
                <w:w w:val="100"/>
                <w:position w:val="0"/>
                <w:sz w:val="21"/>
                <w:szCs w:val="21"/>
                <w:lang w:val="en-US" w:eastAsia="en-US"/>
              </w:rPr>
              <w:t>14</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20</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可拆卸卧兜或座兜的连接装置的强度和耐用性</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4.12</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rPr>
              <w:t>5.15</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21</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束缚系统的强度</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4.13.1</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5.16.1</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22</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安全带扣的强度</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 xml:space="preserve">4.13. </w:t>
            </w:r>
            <w:r>
              <w:rPr>
                <w:rFonts w:hint="default" w:ascii="Times New Roman" w:hAnsi="Times New Roman" w:cs="Times New Roman"/>
                <w:color w:val="auto"/>
                <w:spacing w:val="0"/>
                <w:w w:val="100"/>
                <w:position w:val="0"/>
                <w:sz w:val="21"/>
                <w:szCs w:val="21"/>
              </w:rPr>
              <w:t>3</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5.16.</w:t>
            </w:r>
            <w:r>
              <w:rPr>
                <w:rFonts w:hint="default" w:ascii="Times New Roman" w:hAnsi="Times New Roman" w:cs="Times New Roman"/>
                <w:color w:val="auto"/>
                <w:spacing w:val="0"/>
                <w:w w:val="100"/>
                <w:position w:val="0"/>
                <w:sz w:val="21"/>
                <w:szCs w:val="21"/>
              </w:rPr>
              <w:t>3</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23</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车轮的强度</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4.14</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5.17</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24</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动态耐久性试验</w:t>
            </w:r>
            <w:r>
              <w:rPr>
                <w:rFonts w:hint="default" w:ascii="Times New Roman" w:hAnsi="Times New Roman" w:cs="Times New Roman"/>
                <w:color w:val="auto"/>
                <w:spacing w:val="0"/>
                <w:w w:val="100"/>
                <w:position w:val="0"/>
                <w:sz w:val="21"/>
                <w:szCs w:val="21"/>
                <w:vertAlign w:val="superscript"/>
                <w:lang w:val="en-US" w:eastAsia="en-US"/>
              </w:rPr>
              <w:t>d</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4.15</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5.18</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25</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撞击强度</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4.16</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5.19</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26</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静态强度</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rPr>
              <w:t>417</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5.20</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27</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适用年龄和体重</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rPr>
              <w:t>7.2.4</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7.2.4</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546"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28</w:t>
            </w:r>
          </w:p>
        </w:tc>
        <w:tc>
          <w:tcPr>
            <w:tcW w:w="1917"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安全警示</w:t>
            </w:r>
          </w:p>
        </w:tc>
        <w:tc>
          <w:tcPr>
            <w:tcW w:w="2689"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rPr>
              <w:t>7</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5</w:t>
            </w:r>
          </w:p>
        </w:tc>
        <w:tc>
          <w:tcPr>
            <w:tcW w:w="2661" w:type="dxa"/>
            <w:tcBorders>
              <w:tl2br w:val="nil"/>
              <w:tr2bl w:val="nil"/>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14748</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rPr>
              <w:t>7.2.5</w:t>
            </w:r>
          </w:p>
        </w:tc>
        <w:tc>
          <w:tcPr>
            <w:tcW w:w="73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eastAsia="zh-CN"/>
              </w:rPr>
              <w:t>缺</w:t>
            </w:r>
            <w:r>
              <w:rPr>
                <w:rFonts w:hint="default" w:ascii="Times New Roman" w:hAnsi="Times New Roman" w:cs="Times New Roman"/>
                <w:color w:val="auto"/>
                <w:sz w:val="21"/>
                <w:szCs w:val="21"/>
                <w:lang w:val="en-US" w:eastAsia="zh-CN"/>
              </w:rPr>
              <w:t>3项（含3项）以上内容</w:t>
            </w:r>
          </w:p>
        </w:tc>
        <w:tc>
          <w:tcPr>
            <w:tcW w:w="73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9278" w:type="dxa"/>
            <w:gridSpan w:val="6"/>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a极重要质量项目。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b重要质量项目。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c仅检验一辆。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18"/>
                <w:szCs w:val="18"/>
                <w:highlight w:val="none"/>
                <w:lang w:val="en-US" w:eastAsia="zh-CN"/>
              </w:rPr>
              <w:t>d仅检验一辆。</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outlineLvl w:val="9"/>
        <w:rPr>
          <w:rFonts w:hint="default" w:ascii="Times New Roman" w:hAnsi="Times New Roman" w:cs="Times New Roman" w:eastAsiaTheme="minorEastAsia"/>
          <w:color w:val="auto"/>
          <w:kern w:val="0"/>
          <w:sz w:val="21"/>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outlineLvl w:val="9"/>
        <w:rPr>
          <w:rFonts w:hint="default" w:ascii="Times New Roman" w:hAnsi="Times New Roman" w:cs="Times New Roman"/>
          <w:color w:val="auto"/>
          <w:szCs w:val="21"/>
          <w:lang w:val="zh-CN" w:eastAsia="zh-CN"/>
        </w:rPr>
      </w:pPr>
      <w:r>
        <w:rPr>
          <w:rFonts w:hint="default" w:ascii="Times New Roman" w:hAnsi="Times New Roman" w:cs="Times New Roman" w:eastAsiaTheme="minorEastAsia"/>
          <w:color w:val="auto"/>
          <w:kern w:val="0"/>
          <w:sz w:val="21"/>
          <w:szCs w:val="21"/>
        </w:rPr>
        <w:t>表</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eastAsiaTheme="minorEastAsia"/>
          <w:color w:val="auto"/>
          <w:kern w:val="0"/>
          <w:sz w:val="21"/>
          <w:szCs w:val="21"/>
        </w:rPr>
        <w:t xml:space="preserve">  </w:t>
      </w:r>
      <w:r>
        <w:rPr>
          <w:rFonts w:hint="eastAsia" w:ascii="Times New Roman" w:hAnsi="Times New Roman" w:cs="Times New Roman"/>
          <w:color w:val="auto"/>
          <w:kern w:val="0"/>
          <w:sz w:val="21"/>
          <w:szCs w:val="21"/>
          <w:lang w:eastAsia="zh-CN"/>
        </w:rPr>
        <w:t>婴儿学步车</w:t>
      </w:r>
      <w:r>
        <w:rPr>
          <w:rFonts w:hint="default" w:ascii="Times New Roman" w:hAnsi="Times New Roman" w:cs="Times New Roman" w:eastAsiaTheme="minorEastAsia"/>
          <w:color w:val="auto"/>
          <w:kern w:val="0"/>
          <w:sz w:val="21"/>
          <w:szCs w:val="21"/>
        </w:rPr>
        <w:t>检验项目</w:t>
      </w:r>
    </w:p>
    <w:p>
      <w:pPr>
        <w:widowControl w:val="0"/>
        <w:spacing w:line="1" w:lineRule="exact"/>
        <w:rPr>
          <w:rFonts w:hint="default" w:ascii="Times New Roman" w:hAnsi="Times New Roman" w:cs="Times New Roman"/>
          <w:color w:val="auto"/>
        </w:rPr>
      </w:pPr>
    </w:p>
    <w:tbl>
      <w:tblPr>
        <w:tblStyle w:val="7"/>
        <w:tblW w:w="9278" w:type="dxa"/>
        <w:jc w:val="center"/>
        <w:tblInd w:w="0" w:type="dxa"/>
        <w:tblLayout w:type="fixed"/>
        <w:tblCellMar>
          <w:top w:w="0" w:type="dxa"/>
          <w:left w:w="10" w:type="dxa"/>
          <w:bottom w:w="0" w:type="dxa"/>
          <w:right w:w="10" w:type="dxa"/>
        </w:tblCellMar>
      </w:tblPr>
      <w:tblGrid>
        <w:gridCol w:w="547"/>
        <w:gridCol w:w="2509"/>
        <w:gridCol w:w="2377"/>
        <w:gridCol w:w="2504"/>
        <w:gridCol w:w="701"/>
        <w:gridCol w:w="640"/>
      </w:tblGrid>
      <w:tr>
        <w:tblPrEx>
          <w:tblLayout w:type="fixed"/>
          <w:tblCellMar>
            <w:top w:w="0" w:type="dxa"/>
            <w:left w:w="10" w:type="dxa"/>
            <w:bottom w:w="0" w:type="dxa"/>
            <w:right w:w="10" w:type="dxa"/>
          </w:tblCellMar>
        </w:tblPrEx>
        <w:trPr>
          <w:trHeight w:val="23" w:hRule="atLeast"/>
          <w:jc w:val="center"/>
        </w:trPr>
        <w:tc>
          <w:tcPr>
            <w:tcW w:w="547" w:type="dxa"/>
            <w:vMerge w:val="restart"/>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序号</w:t>
            </w:r>
          </w:p>
        </w:tc>
        <w:tc>
          <w:tcPr>
            <w:tcW w:w="2509" w:type="dxa"/>
            <w:vMerge w:val="restart"/>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检验项目</w:t>
            </w:r>
          </w:p>
        </w:tc>
        <w:tc>
          <w:tcPr>
            <w:tcW w:w="2377" w:type="dxa"/>
            <w:vMerge w:val="restart"/>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eastAsia="zh-CN"/>
              </w:rPr>
              <w:t>检验依据</w:t>
            </w:r>
          </w:p>
        </w:tc>
        <w:tc>
          <w:tcPr>
            <w:tcW w:w="2504" w:type="dxa"/>
            <w:vMerge w:val="restart"/>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检验方法</w:t>
            </w:r>
          </w:p>
        </w:tc>
        <w:tc>
          <w:tcPr>
            <w:tcW w:w="1341" w:type="dxa"/>
            <w:gridSpan w:val="2"/>
            <w:tcBorders>
              <w:top w:val="single" w:color="auto" w:sz="4" w:space="0"/>
              <w:left w:val="single" w:color="auto" w:sz="4" w:space="0"/>
              <w:righ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重要程度分类</w:t>
            </w:r>
          </w:p>
        </w:tc>
      </w:tr>
      <w:tr>
        <w:tblPrEx>
          <w:tblLayout w:type="fixed"/>
          <w:tblCellMar>
            <w:top w:w="0" w:type="dxa"/>
            <w:left w:w="10" w:type="dxa"/>
            <w:bottom w:w="0" w:type="dxa"/>
            <w:right w:w="10" w:type="dxa"/>
          </w:tblCellMar>
        </w:tblPrEx>
        <w:trPr>
          <w:trHeight w:val="23" w:hRule="atLeast"/>
          <w:jc w:val="center"/>
        </w:trPr>
        <w:tc>
          <w:tcPr>
            <w:tcW w:w="547"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2509"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2377"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250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70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A类</w:t>
            </w:r>
            <w:r>
              <w:rPr>
                <w:rFonts w:hint="default" w:ascii="Times New Roman" w:hAnsi="Times New Roman" w:cs="Times New Roman"/>
                <w:color w:val="auto"/>
                <w:sz w:val="21"/>
                <w:szCs w:val="21"/>
                <w:vertAlign w:val="superscript"/>
                <w:lang w:val="en-US" w:eastAsia="zh-CN"/>
              </w:rPr>
              <w:t>a</w:t>
            </w: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B类</w:t>
            </w:r>
            <w:r>
              <w:rPr>
                <w:rFonts w:hint="default" w:ascii="Times New Roman" w:hAnsi="Times New Roman" w:cs="Times New Roman"/>
                <w:color w:val="auto"/>
                <w:sz w:val="21"/>
                <w:szCs w:val="21"/>
                <w:vertAlign w:val="superscript"/>
                <w:lang w:val="en-US" w:eastAsia="zh-CN"/>
              </w:rPr>
              <w:t>b</w:t>
            </w: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8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w:t>
            </w:r>
          </w:p>
        </w:tc>
        <w:tc>
          <w:tcPr>
            <w:tcW w:w="2509"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材料质量</w:t>
            </w:r>
          </w:p>
        </w:tc>
        <w:tc>
          <w:tcPr>
            <w:tcW w:w="237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4.1.1</w:t>
            </w:r>
          </w:p>
        </w:tc>
        <w:tc>
          <w:tcPr>
            <w:tcW w:w="2504"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5.</w:t>
            </w:r>
            <w:r>
              <w:rPr>
                <w:rFonts w:hint="default" w:ascii="Times New Roman" w:hAnsi="Times New Roman" w:cs="Times New Roman"/>
                <w:color w:val="auto"/>
                <w:spacing w:val="0"/>
                <w:w w:val="100"/>
                <w:position w:val="0"/>
                <w:sz w:val="21"/>
                <w:szCs w:val="21"/>
              </w:rPr>
              <w:t>3</w:t>
            </w:r>
          </w:p>
        </w:tc>
        <w:tc>
          <w:tcPr>
            <w:tcW w:w="70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8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2</w:t>
            </w:r>
          </w:p>
        </w:tc>
        <w:tc>
          <w:tcPr>
            <w:tcW w:w="2509"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特定可迁移元素最大限量</w:t>
            </w:r>
          </w:p>
        </w:tc>
        <w:tc>
          <w:tcPr>
            <w:tcW w:w="237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4.1.2</w:t>
            </w:r>
          </w:p>
        </w:tc>
        <w:tc>
          <w:tcPr>
            <w:tcW w:w="2504"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4.1.2</w:t>
            </w:r>
          </w:p>
        </w:tc>
        <w:tc>
          <w:tcPr>
            <w:tcW w:w="701"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8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3</w:t>
            </w:r>
          </w:p>
        </w:tc>
        <w:tc>
          <w:tcPr>
            <w:tcW w:w="2509"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金属件表面</w:t>
            </w:r>
          </w:p>
        </w:tc>
        <w:tc>
          <w:tcPr>
            <w:tcW w:w="237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4.2</w:t>
            </w:r>
          </w:p>
        </w:tc>
        <w:tc>
          <w:tcPr>
            <w:tcW w:w="2504"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 </w:t>
            </w:r>
            <w:r>
              <w:rPr>
                <w:rFonts w:hint="default" w:ascii="Times New Roman" w:hAnsi="Times New Roman" w:cs="Times New Roman"/>
                <w:color w:val="auto"/>
                <w:spacing w:val="0"/>
                <w:w w:val="100"/>
                <w:position w:val="0"/>
                <w:sz w:val="21"/>
                <w:szCs w:val="21"/>
              </w:rPr>
              <w:t>2</w:t>
            </w:r>
          </w:p>
        </w:tc>
        <w:tc>
          <w:tcPr>
            <w:tcW w:w="70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8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4</w:t>
            </w:r>
          </w:p>
        </w:tc>
        <w:tc>
          <w:tcPr>
            <w:tcW w:w="2509"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木制部件</w:t>
            </w:r>
          </w:p>
        </w:tc>
        <w:tc>
          <w:tcPr>
            <w:tcW w:w="237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4. 3. </w:t>
            </w:r>
            <w:r>
              <w:rPr>
                <w:rFonts w:hint="default" w:ascii="Times New Roman" w:hAnsi="Times New Roman" w:cs="Times New Roman"/>
                <w:color w:val="auto"/>
                <w:spacing w:val="0"/>
                <w:w w:val="100"/>
                <w:position w:val="0"/>
                <w:sz w:val="21"/>
                <w:szCs w:val="21"/>
              </w:rPr>
              <w:t>1</w:t>
            </w:r>
          </w:p>
        </w:tc>
        <w:tc>
          <w:tcPr>
            <w:tcW w:w="2504"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4. 3. </w:t>
            </w:r>
            <w:r>
              <w:rPr>
                <w:rFonts w:hint="default" w:ascii="Times New Roman" w:hAnsi="Times New Roman" w:cs="Times New Roman"/>
                <w:color w:val="auto"/>
                <w:spacing w:val="0"/>
                <w:w w:val="100"/>
                <w:position w:val="0"/>
                <w:sz w:val="21"/>
                <w:szCs w:val="21"/>
              </w:rPr>
              <w:t>1</w:t>
            </w:r>
          </w:p>
        </w:tc>
        <w:tc>
          <w:tcPr>
            <w:tcW w:w="70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8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5</w:t>
            </w:r>
          </w:p>
        </w:tc>
        <w:tc>
          <w:tcPr>
            <w:tcW w:w="2509"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危险夹缝及孔、开口</w:t>
            </w:r>
          </w:p>
        </w:tc>
        <w:tc>
          <w:tcPr>
            <w:tcW w:w="237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4. 3. </w:t>
            </w:r>
            <w:r>
              <w:rPr>
                <w:rFonts w:hint="default" w:ascii="Times New Roman" w:hAnsi="Times New Roman" w:cs="Times New Roman"/>
                <w:color w:val="auto"/>
                <w:spacing w:val="0"/>
                <w:w w:val="100"/>
                <w:position w:val="0"/>
                <w:sz w:val="21"/>
                <w:szCs w:val="21"/>
              </w:rPr>
              <w:t>2</w:t>
            </w:r>
          </w:p>
        </w:tc>
        <w:tc>
          <w:tcPr>
            <w:tcW w:w="2504"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5.4</w:t>
            </w:r>
          </w:p>
        </w:tc>
        <w:tc>
          <w:tcPr>
            <w:tcW w:w="70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8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6</w:t>
            </w:r>
          </w:p>
        </w:tc>
        <w:tc>
          <w:tcPr>
            <w:tcW w:w="2509"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弹簧</w:t>
            </w:r>
          </w:p>
        </w:tc>
        <w:tc>
          <w:tcPr>
            <w:tcW w:w="237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4. 3. </w:t>
            </w:r>
            <w:r>
              <w:rPr>
                <w:rFonts w:hint="default" w:ascii="Times New Roman" w:hAnsi="Times New Roman" w:cs="Times New Roman"/>
                <w:color w:val="auto"/>
                <w:spacing w:val="0"/>
                <w:w w:val="100"/>
                <w:position w:val="0"/>
                <w:sz w:val="21"/>
                <w:szCs w:val="21"/>
              </w:rPr>
              <w:t>3</w:t>
            </w:r>
          </w:p>
        </w:tc>
        <w:tc>
          <w:tcPr>
            <w:tcW w:w="2504"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 xml:space="preserve">5. </w:t>
            </w:r>
            <w:r>
              <w:rPr>
                <w:rFonts w:hint="default" w:ascii="Times New Roman" w:hAnsi="Times New Roman" w:cs="Times New Roman"/>
                <w:color w:val="auto"/>
                <w:spacing w:val="0"/>
                <w:w w:val="100"/>
                <w:position w:val="0"/>
                <w:sz w:val="21"/>
                <w:szCs w:val="21"/>
              </w:rPr>
              <w:t>9</w:t>
            </w:r>
          </w:p>
        </w:tc>
        <w:tc>
          <w:tcPr>
            <w:tcW w:w="70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8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7</w:t>
            </w:r>
          </w:p>
        </w:tc>
        <w:tc>
          <w:tcPr>
            <w:tcW w:w="2509"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外露突出物</w:t>
            </w:r>
          </w:p>
        </w:tc>
        <w:tc>
          <w:tcPr>
            <w:tcW w:w="237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4.3.4</w:t>
            </w:r>
          </w:p>
        </w:tc>
        <w:tc>
          <w:tcPr>
            <w:tcW w:w="2504"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bidi="en-US"/>
              </w:rPr>
              <w:t>GB</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14749</w:t>
            </w:r>
            <w:r>
              <w:rPr>
                <w:rFonts w:hint="default" w:ascii="Times New Roman" w:hAnsi="Times New Roman" w:cs="Times New Roman"/>
                <w:color w:val="auto"/>
                <w:spacing w:val="0"/>
                <w:w w:val="100"/>
                <w:position w:val="0"/>
                <w:sz w:val="21"/>
                <w:szCs w:val="21"/>
                <w:lang w:val="en-US" w:eastAsia="zh-CN" w:bidi="en-US"/>
              </w:rPr>
              <w:t>-</w:t>
            </w:r>
            <w:r>
              <w:rPr>
                <w:rFonts w:hint="default" w:ascii="Times New Roman" w:hAnsi="Times New Roman" w:cs="Times New Roman"/>
                <w:color w:val="auto"/>
                <w:spacing w:val="0"/>
                <w:w w:val="100"/>
                <w:position w:val="0"/>
                <w:sz w:val="21"/>
                <w:szCs w:val="21"/>
                <w:lang w:val="en-US" w:eastAsia="en-US" w:bidi="en-US"/>
              </w:rPr>
              <w:t>2006</w:t>
            </w:r>
            <w:r>
              <w:rPr>
                <w:rFonts w:hint="default" w:ascii="Times New Roman" w:hAnsi="Times New Roman" w:cs="Times New Roman"/>
                <w:color w:val="auto"/>
                <w:spacing w:val="0"/>
                <w:w w:val="100"/>
                <w:position w:val="0"/>
                <w:sz w:val="21"/>
                <w:szCs w:val="21"/>
                <w:lang w:val="en-US" w:eastAsia="zh-CN" w:bidi="en-US"/>
              </w:rPr>
              <w:t xml:space="preserve"> </w:t>
            </w:r>
            <w:r>
              <w:rPr>
                <w:rFonts w:hint="default" w:ascii="Times New Roman" w:hAnsi="Times New Roman" w:cs="Times New Roman"/>
                <w:color w:val="auto"/>
                <w:spacing w:val="0"/>
                <w:w w:val="100"/>
                <w:position w:val="0"/>
                <w:sz w:val="21"/>
                <w:szCs w:val="21"/>
                <w:lang w:val="en-US" w:eastAsia="en-US" w:bidi="en-US"/>
              </w:rPr>
              <w:t>4. 3.4</w:t>
            </w:r>
          </w:p>
        </w:tc>
        <w:tc>
          <w:tcPr>
            <w:tcW w:w="70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8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8</w:t>
            </w:r>
          </w:p>
        </w:tc>
        <w:tc>
          <w:tcPr>
            <w:tcW w:w="2509"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可触及部件</w:t>
            </w:r>
          </w:p>
        </w:tc>
        <w:tc>
          <w:tcPr>
            <w:tcW w:w="237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 xml:space="preserve">4. 3. </w:t>
            </w:r>
            <w:r>
              <w:rPr>
                <w:rFonts w:hint="default" w:ascii="Times New Roman" w:hAnsi="Times New Roman" w:cs="Times New Roman"/>
                <w:color w:val="auto"/>
                <w:spacing w:val="0"/>
                <w:w w:val="100"/>
                <w:position w:val="0"/>
                <w:sz w:val="21"/>
                <w:szCs w:val="21"/>
              </w:rPr>
              <w:t>5</w:t>
            </w:r>
          </w:p>
        </w:tc>
        <w:tc>
          <w:tcPr>
            <w:tcW w:w="2504"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6675</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2003 A4.</w:t>
            </w:r>
            <w:r>
              <w:rPr>
                <w:rFonts w:hint="default" w:ascii="Times New Roman" w:hAnsi="Times New Roman" w:cs="Times New Roman"/>
                <w:color w:val="auto"/>
                <w:spacing w:val="0"/>
                <w:w w:val="100"/>
                <w:position w:val="0"/>
                <w:sz w:val="21"/>
                <w:szCs w:val="21"/>
              </w:rPr>
              <w:t>4；</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A4.5；A4. 6；A4. 7；</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lang w:val="en-US" w:eastAsia="en-US"/>
              </w:rPr>
              <w:t>A4. 9</w:t>
            </w:r>
          </w:p>
        </w:tc>
        <w:tc>
          <w:tcPr>
            <w:tcW w:w="701" w:type="dxa"/>
            <w:tcBorders>
              <w:top w:val="single" w:color="auto" w:sz="4" w:space="0"/>
              <w:lef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8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9</w:t>
            </w:r>
          </w:p>
        </w:tc>
        <w:tc>
          <w:tcPr>
            <w:tcW w:w="2509"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绳索/弹性绳等绳状物</w:t>
            </w:r>
          </w:p>
        </w:tc>
        <w:tc>
          <w:tcPr>
            <w:tcW w:w="237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bidi="en-US"/>
              </w:rPr>
              <w:t xml:space="preserve">4. 3. </w:t>
            </w:r>
            <w:r>
              <w:rPr>
                <w:rFonts w:hint="default" w:ascii="Times New Roman" w:hAnsi="Times New Roman" w:cs="Times New Roman"/>
                <w:color w:val="auto"/>
                <w:spacing w:val="0"/>
                <w:w w:val="100"/>
                <w:position w:val="0"/>
                <w:sz w:val="21"/>
                <w:szCs w:val="21"/>
              </w:rPr>
              <w:t>6</w:t>
            </w:r>
          </w:p>
        </w:tc>
        <w:tc>
          <w:tcPr>
            <w:tcW w:w="2504"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bidi="en-US"/>
              </w:rPr>
              <w:t>4. 3. 6</w:t>
            </w:r>
          </w:p>
        </w:tc>
        <w:tc>
          <w:tcPr>
            <w:tcW w:w="70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10</w:t>
            </w:r>
          </w:p>
        </w:tc>
        <w:tc>
          <w:tcPr>
            <w:tcW w:w="2509"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锁定、折叠和框架调节装置</w:t>
            </w:r>
          </w:p>
        </w:tc>
        <w:tc>
          <w:tcPr>
            <w:tcW w:w="237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bidi="en-US"/>
              </w:rPr>
              <w:t xml:space="preserve">4. 3. </w:t>
            </w:r>
            <w:r>
              <w:rPr>
                <w:rFonts w:hint="default" w:ascii="Times New Roman" w:hAnsi="Times New Roman" w:cs="Times New Roman"/>
                <w:color w:val="auto"/>
                <w:spacing w:val="0"/>
                <w:w w:val="100"/>
                <w:position w:val="0"/>
                <w:sz w:val="21"/>
                <w:szCs w:val="21"/>
              </w:rPr>
              <w:t>7</w:t>
            </w:r>
          </w:p>
        </w:tc>
        <w:tc>
          <w:tcPr>
            <w:tcW w:w="2504"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bidi="en-US"/>
              </w:rPr>
              <w:t>5. 6</w:t>
            </w:r>
          </w:p>
        </w:tc>
        <w:tc>
          <w:tcPr>
            <w:tcW w:w="70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11</w:t>
            </w:r>
          </w:p>
        </w:tc>
        <w:tc>
          <w:tcPr>
            <w:tcW w:w="2509"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挤夹、剪切</w:t>
            </w:r>
          </w:p>
        </w:tc>
        <w:tc>
          <w:tcPr>
            <w:tcW w:w="237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bidi="en-US"/>
              </w:rPr>
              <w:t xml:space="preserve">4. 3. </w:t>
            </w:r>
            <w:r>
              <w:rPr>
                <w:rFonts w:hint="default" w:ascii="Times New Roman" w:hAnsi="Times New Roman" w:cs="Times New Roman"/>
                <w:color w:val="auto"/>
                <w:spacing w:val="0"/>
                <w:w w:val="100"/>
                <w:position w:val="0"/>
                <w:sz w:val="21"/>
                <w:szCs w:val="21"/>
              </w:rPr>
              <w:t>8</w:t>
            </w:r>
          </w:p>
        </w:tc>
        <w:tc>
          <w:tcPr>
            <w:tcW w:w="2504"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bidi="en-US"/>
              </w:rPr>
              <w:t>5.4</w:t>
            </w:r>
          </w:p>
        </w:tc>
        <w:tc>
          <w:tcPr>
            <w:tcW w:w="70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12</w:t>
            </w:r>
          </w:p>
        </w:tc>
        <w:tc>
          <w:tcPr>
            <w:tcW w:w="2509"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跨带宽度</w:t>
            </w:r>
          </w:p>
        </w:tc>
        <w:tc>
          <w:tcPr>
            <w:tcW w:w="237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bidi="en-US"/>
              </w:rPr>
              <w:t xml:space="preserve">4. 3. </w:t>
            </w:r>
            <w:r>
              <w:rPr>
                <w:rFonts w:hint="default" w:ascii="Times New Roman" w:hAnsi="Times New Roman" w:cs="Times New Roman"/>
                <w:color w:val="auto"/>
                <w:spacing w:val="0"/>
                <w:w w:val="100"/>
                <w:position w:val="0"/>
                <w:sz w:val="21"/>
                <w:szCs w:val="21"/>
              </w:rPr>
              <w:t>9</w:t>
            </w:r>
          </w:p>
        </w:tc>
        <w:tc>
          <w:tcPr>
            <w:tcW w:w="2504"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bidi="en-US"/>
              </w:rPr>
              <w:t>4. 3. 9</w:t>
            </w:r>
          </w:p>
        </w:tc>
        <w:tc>
          <w:tcPr>
            <w:tcW w:w="70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13</w:t>
            </w:r>
          </w:p>
        </w:tc>
        <w:tc>
          <w:tcPr>
            <w:tcW w:w="2509"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座位</w:t>
            </w:r>
          </w:p>
        </w:tc>
        <w:tc>
          <w:tcPr>
            <w:tcW w:w="2377"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bidi="en-US"/>
              </w:rPr>
              <w:t>4. 3.10</w:t>
            </w:r>
          </w:p>
        </w:tc>
        <w:tc>
          <w:tcPr>
            <w:tcW w:w="2504" w:type="dxa"/>
            <w:tcBorders>
              <w:top w:val="single" w:color="auto" w:sz="4" w:space="0"/>
              <w:lef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bidi="en-US"/>
              </w:rPr>
              <w:t>5. 7</w:t>
            </w:r>
          </w:p>
        </w:tc>
        <w:tc>
          <w:tcPr>
            <w:tcW w:w="70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64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14</w:t>
            </w:r>
          </w:p>
        </w:tc>
        <w:tc>
          <w:tcPr>
            <w:tcW w:w="2509"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学步车脚轮</w:t>
            </w:r>
          </w:p>
        </w:tc>
        <w:tc>
          <w:tcPr>
            <w:tcW w:w="237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bidi="en-US"/>
              </w:rPr>
              <w:t>4. 3.11</w:t>
            </w:r>
          </w:p>
        </w:tc>
        <w:tc>
          <w:tcPr>
            <w:tcW w:w="2504"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bidi="en-US"/>
              </w:rPr>
              <w:t>4. 3. 11</w:t>
            </w:r>
          </w:p>
        </w:tc>
        <w:tc>
          <w:tcPr>
            <w:tcW w:w="70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cs="Times New Roman"/>
                <w:color w:val="auto"/>
                <w:spacing w:val="0"/>
                <w:w w:val="100"/>
                <w:position w:val="0"/>
                <w:sz w:val="21"/>
                <w:szCs w:val="21"/>
                <w:lang w:val="en-US" w:eastAsia="zh-CN"/>
              </w:rPr>
              <w:t>15</w:t>
            </w:r>
          </w:p>
        </w:tc>
        <w:tc>
          <w:tcPr>
            <w:tcW w:w="2509"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框架离地高度</w:t>
            </w:r>
          </w:p>
        </w:tc>
        <w:tc>
          <w:tcPr>
            <w:tcW w:w="237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4. 3.12</w:t>
            </w:r>
          </w:p>
        </w:tc>
        <w:tc>
          <w:tcPr>
            <w:tcW w:w="2504"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4. 3.12</w:t>
            </w:r>
          </w:p>
        </w:tc>
        <w:tc>
          <w:tcPr>
            <w:tcW w:w="70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cs="Times New Roman"/>
                <w:color w:val="auto"/>
                <w:spacing w:val="0"/>
                <w:w w:val="100"/>
                <w:position w:val="0"/>
                <w:sz w:val="21"/>
                <w:szCs w:val="21"/>
                <w:lang w:val="en-US" w:eastAsia="zh-CN"/>
              </w:rPr>
              <w:t>16</w:t>
            </w:r>
          </w:p>
        </w:tc>
        <w:tc>
          <w:tcPr>
            <w:tcW w:w="2509"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防撞间距</w:t>
            </w:r>
          </w:p>
        </w:tc>
        <w:tc>
          <w:tcPr>
            <w:tcW w:w="237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4. 3.13</w:t>
            </w:r>
          </w:p>
        </w:tc>
        <w:tc>
          <w:tcPr>
            <w:tcW w:w="2504"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 xml:space="preserve">5. </w:t>
            </w:r>
            <w:r>
              <w:rPr>
                <w:rFonts w:hint="default" w:ascii="Times New Roman" w:hAnsi="Times New Roman" w:cs="Times New Roman"/>
                <w:color w:val="auto"/>
                <w:spacing w:val="0"/>
                <w:w w:val="100"/>
                <w:position w:val="0"/>
                <w:sz w:val="21"/>
                <w:szCs w:val="21"/>
              </w:rPr>
              <w:t>8</w:t>
            </w:r>
          </w:p>
        </w:tc>
        <w:tc>
          <w:tcPr>
            <w:tcW w:w="70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cs="Times New Roman"/>
                <w:color w:val="auto"/>
                <w:spacing w:val="0"/>
                <w:w w:val="100"/>
                <w:position w:val="0"/>
                <w:sz w:val="21"/>
                <w:szCs w:val="21"/>
                <w:lang w:val="en-US" w:eastAsia="zh-CN"/>
              </w:rPr>
              <w:t>17</w:t>
            </w:r>
          </w:p>
        </w:tc>
        <w:tc>
          <w:tcPr>
            <w:tcW w:w="2509"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静态稳定性</w:t>
            </w:r>
          </w:p>
        </w:tc>
        <w:tc>
          <w:tcPr>
            <w:tcW w:w="237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4.4</w:t>
            </w:r>
          </w:p>
        </w:tc>
        <w:tc>
          <w:tcPr>
            <w:tcW w:w="2504"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 xml:space="preserve">5. </w:t>
            </w:r>
            <w:r>
              <w:rPr>
                <w:rFonts w:hint="default" w:ascii="Times New Roman" w:hAnsi="Times New Roman" w:cs="Times New Roman"/>
                <w:color w:val="auto"/>
                <w:spacing w:val="0"/>
                <w:w w:val="100"/>
                <w:position w:val="0"/>
                <w:sz w:val="21"/>
                <w:szCs w:val="21"/>
              </w:rPr>
              <w:t>9</w:t>
            </w:r>
          </w:p>
        </w:tc>
        <w:tc>
          <w:tcPr>
            <w:tcW w:w="70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cs="Times New Roman"/>
                <w:color w:val="auto"/>
                <w:spacing w:val="0"/>
                <w:w w:val="100"/>
                <w:position w:val="0"/>
                <w:sz w:val="21"/>
                <w:szCs w:val="21"/>
                <w:lang w:val="en-US" w:eastAsia="zh-CN"/>
              </w:rPr>
              <w:t>18</w:t>
            </w:r>
          </w:p>
        </w:tc>
        <w:tc>
          <w:tcPr>
            <w:tcW w:w="2509"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动态稳定性</w:t>
            </w:r>
          </w:p>
        </w:tc>
        <w:tc>
          <w:tcPr>
            <w:tcW w:w="237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 xml:space="preserve">4. </w:t>
            </w:r>
            <w:r>
              <w:rPr>
                <w:rFonts w:hint="default" w:ascii="Times New Roman" w:hAnsi="Times New Roman" w:cs="Times New Roman"/>
                <w:color w:val="auto"/>
                <w:spacing w:val="0"/>
                <w:w w:val="100"/>
                <w:position w:val="0"/>
                <w:sz w:val="21"/>
                <w:szCs w:val="21"/>
              </w:rPr>
              <w:t>5</w:t>
            </w:r>
          </w:p>
        </w:tc>
        <w:tc>
          <w:tcPr>
            <w:tcW w:w="2504"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5.10</w:t>
            </w:r>
          </w:p>
        </w:tc>
        <w:tc>
          <w:tcPr>
            <w:tcW w:w="70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cs="Times New Roman"/>
                <w:color w:val="auto"/>
                <w:spacing w:val="0"/>
                <w:w w:val="100"/>
                <w:position w:val="0"/>
                <w:sz w:val="21"/>
                <w:szCs w:val="21"/>
                <w:lang w:val="en-US" w:eastAsia="zh-CN"/>
              </w:rPr>
              <w:t>19</w:t>
            </w:r>
          </w:p>
        </w:tc>
        <w:tc>
          <w:tcPr>
            <w:tcW w:w="2509"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静态强度</w:t>
            </w:r>
          </w:p>
        </w:tc>
        <w:tc>
          <w:tcPr>
            <w:tcW w:w="237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 xml:space="preserve">4. </w:t>
            </w:r>
            <w:r>
              <w:rPr>
                <w:rFonts w:hint="default" w:ascii="Times New Roman" w:hAnsi="Times New Roman" w:cs="Times New Roman"/>
                <w:color w:val="auto"/>
                <w:spacing w:val="0"/>
                <w:w w:val="100"/>
                <w:position w:val="0"/>
                <w:sz w:val="21"/>
                <w:szCs w:val="21"/>
              </w:rPr>
              <w:t>6</w:t>
            </w:r>
          </w:p>
        </w:tc>
        <w:tc>
          <w:tcPr>
            <w:tcW w:w="2504"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5.11</w:t>
            </w:r>
          </w:p>
        </w:tc>
        <w:tc>
          <w:tcPr>
            <w:tcW w:w="70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cs="Times New Roman"/>
                <w:color w:val="auto"/>
                <w:spacing w:val="0"/>
                <w:w w:val="100"/>
                <w:position w:val="0"/>
                <w:sz w:val="21"/>
                <w:szCs w:val="21"/>
                <w:lang w:val="en-US" w:eastAsia="zh-CN"/>
              </w:rPr>
              <w:t>20</w:t>
            </w:r>
          </w:p>
        </w:tc>
        <w:tc>
          <w:tcPr>
            <w:tcW w:w="2509"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动态强度</w:t>
            </w:r>
          </w:p>
        </w:tc>
        <w:tc>
          <w:tcPr>
            <w:tcW w:w="237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 xml:space="preserve">4. </w:t>
            </w:r>
            <w:r>
              <w:rPr>
                <w:rFonts w:hint="default" w:ascii="Times New Roman" w:hAnsi="Times New Roman" w:cs="Times New Roman"/>
                <w:color w:val="auto"/>
                <w:spacing w:val="0"/>
                <w:w w:val="100"/>
                <w:position w:val="0"/>
                <w:sz w:val="21"/>
                <w:szCs w:val="21"/>
              </w:rPr>
              <w:t>7</w:t>
            </w:r>
          </w:p>
        </w:tc>
        <w:tc>
          <w:tcPr>
            <w:tcW w:w="2504"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5.12</w:t>
            </w:r>
          </w:p>
        </w:tc>
        <w:tc>
          <w:tcPr>
            <w:tcW w:w="70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cs="Times New Roman"/>
                <w:color w:val="auto"/>
                <w:spacing w:val="0"/>
                <w:w w:val="100"/>
                <w:position w:val="0"/>
                <w:sz w:val="21"/>
                <w:szCs w:val="21"/>
                <w:lang w:val="en-US" w:eastAsia="zh-CN"/>
              </w:rPr>
              <w:t>21</w:t>
            </w:r>
          </w:p>
        </w:tc>
        <w:tc>
          <w:tcPr>
            <w:tcW w:w="2509"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碰撞强度</w:t>
            </w:r>
          </w:p>
        </w:tc>
        <w:tc>
          <w:tcPr>
            <w:tcW w:w="237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4.8</w:t>
            </w:r>
          </w:p>
        </w:tc>
        <w:tc>
          <w:tcPr>
            <w:tcW w:w="2504"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right="0" w:rightChars="0"/>
              <w:jc w:val="center"/>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lang w:val="en-US" w:eastAsia="zh-CN"/>
              </w:rPr>
              <w:t>5.</w:t>
            </w:r>
            <w:r>
              <w:rPr>
                <w:rFonts w:hint="default" w:ascii="Times New Roman" w:hAnsi="Times New Roman" w:cs="Times New Roman"/>
                <w:color w:val="auto"/>
                <w:spacing w:val="0"/>
                <w:w w:val="100"/>
                <w:position w:val="0"/>
                <w:sz w:val="21"/>
                <w:szCs w:val="21"/>
              </w:rPr>
              <w:t>13</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GB6675</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rPr>
              <w:t xml:space="preserve">2003 </w:t>
            </w:r>
            <w:r>
              <w:rPr>
                <w:rFonts w:hint="default" w:ascii="Times New Roman" w:hAnsi="Times New Roman" w:cs="Times New Roman"/>
                <w:color w:val="auto"/>
                <w:spacing w:val="0"/>
                <w:w w:val="100"/>
                <w:position w:val="0"/>
                <w:sz w:val="21"/>
                <w:szCs w:val="21"/>
                <w:lang w:val="en-US" w:eastAsia="en-US"/>
              </w:rPr>
              <w:t>A4.</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 xml:space="preserve">4；A4. 5；A4. 6；A4. </w:t>
            </w:r>
            <w:r>
              <w:rPr>
                <w:rFonts w:hint="default" w:ascii="Times New Roman" w:hAnsi="Times New Roman" w:cs="Times New Roman"/>
                <w:color w:val="auto"/>
                <w:spacing w:val="0"/>
                <w:w w:val="100"/>
                <w:position w:val="0"/>
                <w:sz w:val="21"/>
                <w:szCs w:val="21"/>
              </w:rPr>
              <w:t>7</w:t>
            </w:r>
          </w:p>
        </w:tc>
        <w:tc>
          <w:tcPr>
            <w:tcW w:w="70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cs="Times New Roman"/>
                <w:color w:val="auto"/>
                <w:spacing w:val="0"/>
                <w:w w:val="100"/>
                <w:position w:val="0"/>
                <w:sz w:val="21"/>
                <w:szCs w:val="21"/>
                <w:lang w:val="en-US" w:eastAsia="zh-CN"/>
              </w:rPr>
              <w:t>22</w:t>
            </w:r>
          </w:p>
        </w:tc>
        <w:tc>
          <w:tcPr>
            <w:tcW w:w="2509"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燃烧性能</w:t>
            </w:r>
          </w:p>
        </w:tc>
        <w:tc>
          <w:tcPr>
            <w:tcW w:w="237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 xml:space="preserve">20064. </w:t>
            </w:r>
            <w:r>
              <w:rPr>
                <w:rFonts w:hint="default" w:ascii="Times New Roman" w:hAnsi="Times New Roman" w:cs="Times New Roman"/>
                <w:color w:val="auto"/>
                <w:spacing w:val="0"/>
                <w:w w:val="100"/>
                <w:position w:val="0"/>
                <w:sz w:val="21"/>
                <w:szCs w:val="21"/>
              </w:rPr>
              <w:t>9</w:t>
            </w:r>
          </w:p>
        </w:tc>
        <w:tc>
          <w:tcPr>
            <w:tcW w:w="2504"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 xml:space="preserve">4. </w:t>
            </w:r>
            <w:r>
              <w:rPr>
                <w:rFonts w:hint="default" w:ascii="Times New Roman" w:hAnsi="Times New Roman" w:cs="Times New Roman"/>
                <w:color w:val="auto"/>
                <w:spacing w:val="0"/>
                <w:w w:val="100"/>
                <w:position w:val="0"/>
                <w:sz w:val="21"/>
                <w:szCs w:val="21"/>
              </w:rPr>
              <w:t>9</w:t>
            </w:r>
          </w:p>
        </w:tc>
        <w:tc>
          <w:tcPr>
            <w:tcW w:w="70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cs="Times New Roman"/>
                <w:color w:val="auto"/>
                <w:spacing w:val="0"/>
                <w:w w:val="100"/>
                <w:position w:val="0"/>
                <w:sz w:val="21"/>
                <w:szCs w:val="21"/>
                <w:lang w:val="en-US" w:eastAsia="zh-CN"/>
              </w:rPr>
              <w:t>23</w:t>
            </w:r>
          </w:p>
        </w:tc>
        <w:tc>
          <w:tcPr>
            <w:tcW w:w="2509"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适用年龄和体重</w:t>
            </w:r>
          </w:p>
        </w:tc>
        <w:tc>
          <w:tcPr>
            <w:tcW w:w="237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4.11.2.4</w:t>
            </w:r>
          </w:p>
        </w:tc>
        <w:tc>
          <w:tcPr>
            <w:tcW w:w="2504"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 xml:space="preserve">4. 11. 2. </w:t>
            </w:r>
            <w:r>
              <w:rPr>
                <w:rFonts w:hint="default" w:ascii="Times New Roman" w:hAnsi="Times New Roman" w:cs="Times New Roman"/>
                <w:color w:val="auto"/>
                <w:spacing w:val="0"/>
                <w:w w:val="100"/>
                <w:position w:val="0"/>
                <w:sz w:val="21"/>
                <w:szCs w:val="21"/>
              </w:rPr>
              <w:t>4</w:t>
            </w:r>
          </w:p>
        </w:tc>
        <w:tc>
          <w:tcPr>
            <w:tcW w:w="70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Layout w:type="fixed"/>
          <w:tblCellMar>
            <w:top w:w="0" w:type="dxa"/>
            <w:left w:w="10" w:type="dxa"/>
            <w:bottom w:w="0" w:type="dxa"/>
            <w:right w:w="10" w:type="dxa"/>
          </w:tblCellMar>
        </w:tblPrEx>
        <w:trPr>
          <w:trHeight w:val="23" w:hRule="atLeast"/>
          <w:jc w:val="center"/>
        </w:trPr>
        <w:tc>
          <w:tcPr>
            <w:tcW w:w="54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140"/>
              <w:jc w:val="both"/>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cs="Times New Roman"/>
                <w:color w:val="auto"/>
                <w:spacing w:val="0"/>
                <w:w w:val="100"/>
                <w:position w:val="0"/>
                <w:sz w:val="21"/>
                <w:szCs w:val="21"/>
                <w:lang w:val="en-US" w:eastAsia="zh-CN"/>
              </w:rPr>
              <w:t>24</w:t>
            </w:r>
          </w:p>
        </w:tc>
        <w:tc>
          <w:tcPr>
            <w:tcW w:w="2509"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left"/>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安全警示</w:t>
            </w:r>
          </w:p>
        </w:tc>
        <w:tc>
          <w:tcPr>
            <w:tcW w:w="2377"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4.11.2.</w:t>
            </w:r>
            <w:r>
              <w:rPr>
                <w:rFonts w:hint="default" w:ascii="Times New Roman" w:hAnsi="Times New Roman" w:cs="Times New Roman"/>
                <w:color w:val="auto"/>
                <w:spacing w:val="0"/>
                <w:w w:val="100"/>
                <w:position w:val="0"/>
                <w:sz w:val="21"/>
                <w:szCs w:val="21"/>
              </w:rPr>
              <w:t>5</w:t>
            </w:r>
          </w:p>
        </w:tc>
        <w:tc>
          <w:tcPr>
            <w:tcW w:w="2504" w:type="dxa"/>
            <w:tcBorders>
              <w:top w:val="single" w:color="auto" w:sz="4" w:space="0"/>
              <w:left w:val="single" w:color="auto" w:sz="4" w:space="0"/>
              <w:bottom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0"/>
              <w:jc w:val="center"/>
              <w:textAlignment w:val="auto"/>
              <w:rPr>
                <w:rFonts w:hint="default" w:ascii="Times New Roman" w:hAnsi="Times New Roman" w:cs="Times New Roman"/>
                <w:color w:val="auto"/>
                <w:spacing w:val="0"/>
                <w:w w:val="100"/>
                <w:position w:val="0"/>
                <w:sz w:val="21"/>
                <w:szCs w:val="21"/>
                <w:lang w:val="en-US" w:eastAsia="en-US"/>
              </w:rPr>
            </w:pPr>
            <w:r>
              <w:rPr>
                <w:rFonts w:hint="default" w:ascii="Times New Roman" w:hAnsi="Times New Roman" w:cs="Times New Roman"/>
                <w:color w:val="auto"/>
                <w:spacing w:val="0"/>
                <w:w w:val="100"/>
                <w:position w:val="0"/>
                <w:sz w:val="21"/>
                <w:szCs w:val="21"/>
                <w:lang w:val="en-US" w:eastAsia="en-US"/>
              </w:rPr>
              <w:t>GB</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14749</w:t>
            </w:r>
            <w:r>
              <w:rPr>
                <w:rFonts w:hint="default" w:ascii="Times New Roman" w:hAnsi="Times New Roman" w:cs="Times New Roman"/>
                <w:color w:val="auto"/>
                <w:spacing w:val="0"/>
                <w:w w:val="100"/>
                <w:position w:val="0"/>
                <w:sz w:val="21"/>
                <w:szCs w:val="21"/>
                <w:lang w:val="en-US" w:eastAsia="zh-CN"/>
              </w:rPr>
              <w:t>-</w:t>
            </w:r>
            <w:r>
              <w:rPr>
                <w:rFonts w:hint="default" w:ascii="Times New Roman" w:hAnsi="Times New Roman" w:cs="Times New Roman"/>
                <w:color w:val="auto"/>
                <w:spacing w:val="0"/>
                <w:w w:val="100"/>
                <w:position w:val="0"/>
                <w:sz w:val="21"/>
                <w:szCs w:val="21"/>
                <w:lang w:val="en-US" w:eastAsia="en-US"/>
              </w:rPr>
              <w:t>2006</w:t>
            </w:r>
            <w:r>
              <w:rPr>
                <w:rFonts w:hint="default" w:ascii="Times New Roman" w:hAnsi="Times New Roman" w:cs="Times New Roman"/>
                <w:color w:val="auto"/>
                <w:spacing w:val="0"/>
                <w:w w:val="100"/>
                <w:position w:val="0"/>
                <w:sz w:val="21"/>
                <w:szCs w:val="21"/>
                <w:lang w:val="en-US" w:eastAsia="zh-CN"/>
              </w:rPr>
              <w:t xml:space="preserve"> </w:t>
            </w:r>
            <w:r>
              <w:rPr>
                <w:rFonts w:hint="default" w:ascii="Times New Roman" w:hAnsi="Times New Roman" w:cs="Times New Roman"/>
                <w:color w:val="auto"/>
                <w:spacing w:val="0"/>
                <w:w w:val="100"/>
                <w:position w:val="0"/>
                <w:sz w:val="21"/>
                <w:szCs w:val="21"/>
                <w:lang w:val="en-US" w:eastAsia="en-US"/>
              </w:rPr>
              <w:t xml:space="preserve">4. 11. 2. </w:t>
            </w:r>
            <w:r>
              <w:rPr>
                <w:rFonts w:hint="default" w:ascii="Times New Roman" w:hAnsi="Times New Roman" w:cs="Times New Roman"/>
                <w:color w:val="auto"/>
                <w:spacing w:val="0"/>
                <w:w w:val="100"/>
                <w:position w:val="0"/>
                <w:sz w:val="21"/>
                <w:szCs w:val="21"/>
              </w:rPr>
              <w:t>5</w:t>
            </w:r>
          </w:p>
        </w:tc>
        <w:tc>
          <w:tcPr>
            <w:tcW w:w="70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缺</w:t>
            </w:r>
            <w:r>
              <w:rPr>
                <w:rFonts w:hint="default" w:ascii="Times New Roman" w:hAnsi="Times New Roman" w:cs="Times New Roman"/>
                <w:color w:val="auto"/>
                <w:sz w:val="21"/>
                <w:szCs w:val="21"/>
                <w:lang w:val="en-US" w:eastAsia="zh-CN"/>
              </w:rPr>
              <w:t>3项（含3项）以上内容</w:t>
            </w:r>
          </w:p>
        </w:tc>
        <w:tc>
          <w:tcPr>
            <w:tcW w:w="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r>
      <w:tr>
        <w:tblPrEx>
          <w:tblLayout w:type="fixed"/>
          <w:tblCellMar>
            <w:top w:w="0" w:type="dxa"/>
            <w:left w:w="10" w:type="dxa"/>
            <w:bottom w:w="0" w:type="dxa"/>
            <w:right w:w="10" w:type="dxa"/>
          </w:tblCellMar>
        </w:tblPrEx>
        <w:trPr>
          <w:trHeight w:val="23" w:hRule="atLeast"/>
          <w:jc w:val="center"/>
        </w:trPr>
        <w:tc>
          <w:tcPr>
            <w:tcW w:w="9278"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a极重要质量项目。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18"/>
                <w:szCs w:val="18"/>
                <w:highlight w:val="none"/>
                <w:lang w:val="en-US" w:eastAsia="zh-CN"/>
              </w:rPr>
              <w:t>b重要质量项目。</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outlineLvl w:val="9"/>
        <w:rPr>
          <w:rFonts w:hint="default" w:ascii="Times New Roman" w:hAnsi="Times New Roman" w:cs="Times New Roman"/>
          <w:color w:val="auto"/>
          <w:szCs w:val="21"/>
          <w:lang w:val="zh-CN" w:eastAsia="zh-CN"/>
        </w:rPr>
      </w:pPr>
      <w:r>
        <w:rPr>
          <w:rFonts w:hint="default" w:ascii="Times New Roman" w:hAnsi="Times New Roman" w:cs="Times New Roman" w:eastAsiaTheme="minorEastAsia"/>
          <w:color w:val="auto"/>
          <w:kern w:val="0"/>
          <w:sz w:val="21"/>
          <w:szCs w:val="21"/>
        </w:rPr>
        <w:t>表</w:t>
      </w:r>
      <w:r>
        <w:rPr>
          <w:rFonts w:hint="default" w:ascii="Times New Roman" w:hAnsi="Times New Roman" w:cs="Times New Roman"/>
          <w:color w:val="auto"/>
          <w:kern w:val="0"/>
          <w:sz w:val="21"/>
          <w:szCs w:val="21"/>
          <w:lang w:val="en-US" w:eastAsia="zh-CN"/>
        </w:rPr>
        <w:t>3</w:t>
      </w:r>
      <w:r>
        <w:rPr>
          <w:rFonts w:hint="default" w:ascii="Times New Roman" w:hAnsi="Times New Roman" w:cs="Times New Roman" w:eastAsiaTheme="minorEastAsia"/>
          <w:color w:val="auto"/>
          <w:kern w:val="0"/>
          <w:sz w:val="21"/>
          <w:szCs w:val="21"/>
        </w:rPr>
        <w:t xml:space="preserve">  </w:t>
      </w:r>
      <w:r>
        <w:rPr>
          <w:rFonts w:hint="default" w:ascii="Times New Roman" w:hAnsi="Times New Roman" w:cs="Times New Roman"/>
          <w:color w:val="auto"/>
          <w:kern w:val="0"/>
          <w:sz w:val="21"/>
          <w:szCs w:val="21"/>
          <w:lang w:eastAsia="zh-CN"/>
        </w:rPr>
        <w:t>其他类童车</w:t>
      </w:r>
      <w:r>
        <w:rPr>
          <w:rFonts w:hint="eastAsia" w:ascii="Times New Roman" w:hAnsi="Times New Roman" w:cs="Times New Roman"/>
          <w:color w:val="auto"/>
          <w:kern w:val="0"/>
          <w:sz w:val="21"/>
          <w:szCs w:val="21"/>
          <w:lang w:eastAsia="zh-CN"/>
        </w:rPr>
        <w:t>（除电动童车）</w:t>
      </w:r>
      <w:r>
        <w:rPr>
          <w:rFonts w:hint="default" w:ascii="Times New Roman" w:hAnsi="Times New Roman" w:cs="Times New Roman" w:eastAsiaTheme="minorEastAsia"/>
          <w:color w:val="auto"/>
          <w:kern w:val="0"/>
          <w:sz w:val="21"/>
          <w:szCs w:val="21"/>
        </w:rPr>
        <w:t>检验项目</w:t>
      </w:r>
    </w:p>
    <w:tbl>
      <w:tblPr>
        <w:tblStyle w:val="7"/>
        <w:tblW w:w="90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012"/>
        <w:gridCol w:w="1985"/>
        <w:gridCol w:w="2619"/>
        <w:gridCol w:w="906"/>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2012"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检验项目</w:t>
            </w:r>
          </w:p>
        </w:tc>
        <w:tc>
          <w:tcPr>
            <w:tcW w:w="1985"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pacing w:val="0"/>
                <w:w w:val="100"/>
                <w:position w:val="0"/>
                <w:sz w:val="21"/>
                <w:szCs w:val="21"/>
                <w:lang w:eastAsia="zh-CN"/>
              </w:rPr>
              <w:t>检验依据</w:t>
            </w:r>
          </w:p>
        </w:tc>
        <w:tc>
          <w:tcPr>
            <w:tcW w:w="2619"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pacing w:val="0"/>
                <w:w w:val="100"/>
                <w:position w:val="0"/>
                <w:sz w:val="21"/>
                <w:szCs w:val="21"/>
                <w:lang w:eastAsia="zh-CN"/>
              </w:rPr>
              <w:t>检验</w:t>
            </w:r>
            <w:r>
              <w:rPr>
                <w:rFonts w:hint="default" w:ascii="Times New Roman" w:hAnsi="Times New Roman" w:cs="Times New Roman"/>
                <w:color w:val="auto"/>
                <w:szCs w:val="21"/>
              </w:rPr>
              <w:t>方法</w:t>
            </w:r>
          </w:p>
        </w:tc>
        <w:tc>
          <w:tcPr>
            <w:tcW w:w="1747" w:type="dxa"/>
            <w:gridSpan w:val="2"/>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color w:val="auto"/>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2012"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1985"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2619"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906" w:type="dxa"/>
            <w:vAlign w:val="center"/>
          </w:tcPr>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A类</w:t>
            </w:r>
            <w:r>
              <w:rPr>
                <w:rFonts w:hint="default" w:ascii="Times New Roman" w:hAnsi="Times New Roman" w:cs="Times New Roman"/>
                <w:bCs/>
                <w:color w:val="auto"/>
                <w:sz w:val="21"/>
                <w:szCs w:val="21"/>
                <w:vertAlign w:val="superscript"/>
                <w:lang w:val="en-US" w:eastAsia="zh-CN"/>
              </w:rPr>
              <w:t>a</w:t>
            </w:r>
          </w:p>
        </w:tc>
        <w:tc>
          <w:tcPr>
            <w:tcW w:w="841" w:type="dxa"/>
            <w:vAlign w:val="center"/>
          </w:tcPr>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B类</w:t>
            </w:r>
            <w:r>
              <w:rPr>
                <w:rFonts w:hint="default" w:ascii="Times New Roman" w:hAnsi="Times New Roman" w:cs="Times New Roman"/>
                <w:bCs/>
                <w:color w:val="auto"/>
                <w:sz w:val="21"/>
                <w:szCs w:val="21"/>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076" w:type="dxa"/>
            <w:gridSpan w:val="6"/>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一、机械与物理性能正常使用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材料</w:t>
            </w:r>
          </w:p>
        </w:tc>
        <w:tc>
          <w:tcPr>
            <w:tcW w:w="1985" w:type="dxa"/>
            <w:vAlign w:val="bottom"/>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4.3</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4.3</w:t>
            </w:r>
          </w:p>
        </w:tc>
        <w:tc>
          <w:tcPr>
            <w:tcW w:w="906" w:type="dxa"/>
            <w:vAlign w:val="bottom"/>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2</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小零件</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4.4</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5.2</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3</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小球</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4.5.2</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5.4</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可触及的金属或玻璃边缘</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4.6.1</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5.8</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功能性锐利边缘</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4.6.2</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4.6.2</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6</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kern w:val="0"/>
                <w:szCs w:val="21"/>
              </w:rPr>
              <w:t>金属玩具边缘</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4.6.3</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5.8</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7</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模塑玩具边缘</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4.6.4</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4.6.4</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8</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外露螺栓或螺纹杆的边缘</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4.6.5</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5.8、4.6.5</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9</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可触及的锐利尖端</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4.7.1</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5.9</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10</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功能性锐利尖端</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4.7.2</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4.7.2</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11</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突出物</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4.8</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4.8</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12</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折叠机构</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4.12.1</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5.22.2</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13</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带有折叠机构的其他玩具</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4.12.2</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5.22.3</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14</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铰链间隙</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4.12.3</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4.12.3</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15</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刚性材料上的圆孔</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4.13.1</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4.13.1</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16</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活动部件间的间隙</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4.13.2</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4.13.2</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17</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弹簧</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4.14</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4.14</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18</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可用脚起稳定作用的玩具的侧倾稳定性</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4.15.1.1</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5.12.2</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19</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不可用脚起稳定作用的玩具的侧倾稳定性</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4.15.1.2</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5.12.3</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20</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前后稳定性</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4.15.1.3</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5.12.4</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21</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乘骑玩具及座位的超载要求</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A.4.15.2</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5.12.5、5.24.4</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22</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制动装置</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4.20</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5.16</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23</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电动童车的速度要求</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4.22</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5.17</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24</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color w:val="auto"/>
                <w:szCs w:val="21"/>
                <w:lang w:eastAsia="zh-CN"/>
              </w:rPr>
            </w:pPr>
            <w:r>
              <w:rPr>
                <w:rFonts w:hint="default" w:ascii="Times New Roman" w:hAnsi="Times New Roman" w:cs="Times New Roman"/>
                <w:bCs/>
                <w:color w:val="auto"/>
                <w:szCs w:val="21"/>
                <w:lang w:eastAsia="zh-CN"/>
              </w:rPr>
              <w:t>声响要求</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Cs/>
                <w:color w:val="auto"/>
                <w:szCs w:val="21"/>
                <w:lang w:val="en-US" w:eastAsia="zh-CN"/>
              </w:rPr>
            </w:pPr>
            <w:r>
              <w:rPr>
                <w:rFonts w:hint="default" w:ascii="Times New Roman" w:hAnsi="Times New Roman" w:cs="Times New Roman"/>
                <w:bCs/>
                <w:color w:val="auto"/>
                <w:szCs w:val="21"/>
              </w:rPr>
              <w:t>4.</w:t>
            </w:r>
            <w:r>
              <w:rPr>
                <w:rFonts w:hint="default" w:ascii="Times New Roman" w:hAnsi="Times New Roman" w:cs="Times New Roman"/>
                <w:bCs/>
                <w:color w:val="auto"/>
                <w:szCs w:val="21"/>
                <w:lang w:val="en-US" w:eastAsia="zh-CN"/>
              </w:rPr>
              <w:t>28</w:t>
            </w:r>
          </w:p>
        </w:tc>
        <w:tc>
          <w:tcPr>
            <w:tcW w:w="261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Cs/>
                <w:color w:val="auto"/>
                <w:szCs w:val="21"/>
                <w:lang w:val="en-US" w:eastAsia="zh-CN"/>
              </w:rPr>
            </w:pPr>
            <w:r>
              <w:rPr>
                <w:rFonts w:hint="default" w:ascii="Times New Roman" w:hAnsi="Times New Roman" w:cs="Times New Roman"/>
                <w:bCs/>
                <w:color w:val="auto"/>
                <w:szCs w:val="21"/>
                <w:lang w:val="en-US" w:eastAsia="zh-CN"/>
              </w:rPr>
              <w:t>4.28</w:t>
            </w:r>
          </w:p>
        </w:tc>
        <w:tc>
          <w:tcPr>
            <w:tcW w:w="9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 w:val="21"/>
                <w:szCs w:val="21"/>
                <w:lang w:val="en-US" w:eastAsia="zh-CN"/>
              </w:rPr>
              <w:t>●</w:t>
            </w:r>
          </w:p>
        </w:tc>
        <w:tc>
          <w:tcPr>
            <w:tcW w:w="8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076" w:type="dxa"/>
            <w:gridSpan w:val="6"/>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二、机械与物理性能可预见的合理滥用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小零件</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4.2、4.4.1、4.4.2</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5.2、5.24.2、</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5.24.5、5.24.6.1、5.24.7</w:t>
            </w:r>
          </w:p>
        </w:tc>
        <w:tc>
          <w:tcPr>
            <w:tcW w:w="9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2</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边缘</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4.6</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5.8、5.24.2、5.24.5、</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5.24.6.1、5.24.7</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3</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尖端</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4.7</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5.9、5.24.2、</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5.24.5、5.24.6.1、5.24.7</w:t>
            </w:r>
          </w:p>
        </w:tc>
        <w:tc>
          <w:tcPr>
            <w:tcW w:w="9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小球</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4.5.2</w:t>
            </w:r>
          </w:p>
        </w:tc>
        <w:tc>
          <w:tcPr>
            <w:tcW w:w="261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5.4、5.24.2、5.24.5、</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5.24.6.1、5.24.7</w:t>
            </w:r>
          </w:p>
        </w:tc>
        <w:tc>
          <w:tcPr>
            <w:tcW w:w="9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c>
          <w:tcPr>
            <w:tcW w:w="8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毛球</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4.5.3</w:t>
            </w:r>
          </w:p>
        </w:tc>
        <w:tc>
          <w:tcPr>
            <w:tcW w:w="261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5.24.6.3、5.5</w:t>
            </w:r>
          </w:p>
        </w:tc>
        <w:tc>
          <w:tcPr>
            <w:tcW w:w="9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c>
          <w:tcPr>
            <w:tcW w:w="8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6</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弹珠</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4.5.7</w:t>
            </w:r>
          </w:p>
        </w:tc>
        <w:tc>
          <w:tcPr>
            <w:tcW w:w="261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5.24.2、5.24.5、</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5.24.6.1、5.24.7</w:t>
            </w:r>
          </w:p>
        </w:tc>
        <w:tc>
          <w:tcPr>
            <w:tcW w:w="9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p>
        </w:tc>
        <w:tc>
          <w:tcPr>
            <w:tcW w:w="8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7</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外露螺栓或螺纹杆的边缘</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4.6.5</w:t>
            </w:r>
          </w:p>
        </w:tc>
        <w:tc>
          <w:tcPr>
            <w:tcW w:w="261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5.8、5.24.2、5.24.5、</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5.24.6.1、5.24.7</w:t>
            </w:r>
          </w:p>
        </w:tc>
        <w:tc>
          <w:tcPr>
            <w:tcW w:w="9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p>
        </w:tc>
        <w:tc>
          <w:tcPr>
            <w:tcW w:w="8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8</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突出物</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4.8.1</w:t>
            </w:r>
          </w:p>
        </w:tc>
        <w:tc>
          <w:tcPr>
            <w:tcW w:w="261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5.24.6.4</w:t>
            </w:r>
          </w:p>
        </w:tc>
        <w:tc>
          <w:tcPr>
            <w:tcW w:w="9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c>
          <w:tcPr>
            <w:tcW w:w="8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9</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金属丝和杆件</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4.9</w:t>
            </w:r>
          </w:p>
        </w:tc>
        <w:tc>
          <w:tcPr>
            <w:tcW w:w="261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5.24.8、5.24.6.4、5.8、</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A5.9</w:t>
            </w:r>
          </w:p>
        </w:tc>
        <w:tc>
          <w:tcPr>
            <w:tcW w:w="9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p>
        </w:tc>
        <w:tc>
          <w:tcPr>
            <w:tcW w:w="8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10</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刚性材料上的圆孔</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4.13.1</w:t>
            </w:r>
          </w:p>
        </w:tc>
        <w:tc>
          <w:tcPr>
            <w:tcW w:w="261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5.24.2、5.24.5、</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5.24.6.1、5.24.7、</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A.4.13.1</w:t>
            </w:r>
          </w:p>
        </w:tc>
        <w:tc>
          <w:tcPr>
            <w:tcW w:w="9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p>
        </w:tc>
        <w:tc>
          <w:tcPr>
            <w:tcW w:w="8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11</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活动部件间的间隙</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4.13.2</w:t>
            </w:r>
          </w:p>
        </w:tc>
        <w:tc>
          <w:tcPr>
            <w:tcW w:w="2619" w:type="dxa"/>
            <w:vAlign w:val="center"/>
          </w:tcPr>
          <w:p>
            <w:pPr>
              <w:pStyle w:val="12"/>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pStyle w:val="12"/>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5.24.2、5.24.5、</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5.24.6.1、5.24.7、4.13.2</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12</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color w:val="auto"/>
                <w:szCs w:val="21"/>
                <w:lang w:eastAsia="zh-CN"/>
              </w:rPr>
            </w:pPr>
            <w:r>
              <w:rPr>
                <w:rFonts w:hint="default" w:ascii="Times New Roman" w:hAnsi="Times New Roman" w:cs="Times New Roman"/>
                <w:bCs/>
                <w:color w:val="auto"/>
                <w:szCs w:val="21"/>
                <w:lang w:eastAsia="zh-CN"/>
              </w:rPr>
              <w:t>有轮乘骑玩具的动态强度</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Cs/>
                <w:color w:val="auto"/>
                <w:szCs w:val="21"/>
                <w:lang w:val="en-US" w:eastAsia="zh-CN"/>
              </w:rPr>
            </w:pPr>
            <w:r>
              <w:rPr>
                <w:rFonts w:hint="default" w:ascii="Times New Roman" w:hAnsi="Times New Roman" w:cs="Times New Roman"/>
                <w:bCs/>
                <w:color w:val="auto"/>
                <w:szCs w:val="21"/>
              </w:rPr>
              <w:t>4.</w:t>
            </w:r>
            <w:r>
              <w:rPr>
                <w:rFonts w:hint="default" w:ascii="Times New Roman" w:hAnsi="Times New Roman" w:cs="Times New Roman"/>
                <w:bCs/>
                <w:color w:val="auto"/>
                <w:szCs w:val="21"/>
                <w:lang w:val="en-US" w:eastAsia="zh-CN"/>
              </w:rPr>
              <w:t>15.2</w:t>
            </w:r>
          </w:p>
        </w:tc>
        <w:tc>
          <w:tcPr>
            <w:tcW w:w="2619" w:type="dxa"/>
            <w:vAlign w:val="center"/>
          </w:tcPr>
          <w:p>
            <w:pPr>
              <w:pStyle w:val="12"/>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GB 6675.2-2014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bCs/>
                <w:color w:val="auto"/>
                <w:szCs w:val="21"/>
                <w:lang w:val="en-US" w:eastAsia="zh-CN"/>
              </w:rPr>
              <w:t>5.24.4</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c>
          <w:tcPr>
            <w:tcW w:w="8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076" w:type="dxa"/>
            <w:gridSpan w:val="6"/>
            <w:vAlign w:val="center"/>
          </w:tcPr>
          <w:p>
            <w:pPr>
              <w:pStyle w:val="3"/>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三、易燃性能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w:t>
            </w:r>
          </w:p>
        </w:tc>
        <w:tc>
          <w:tcPr>
            <w:tcW w:w="2012" w:type="dxa"/>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sz w:val="21"/>
                <w:szCs w:val="21"/>
                <w:lang w:val="en-US" w:eastAsia="zh-CN"/>
              </w:rPr>
            </w:pPr>
            <w:r>
              <w:rPr>
                <w:rFonts w:hint="default" w:ascii="Times New Roman" w:hAnsi="Times New Roman" w:cs="Times New Roman"/>
                <w:bCs/>
                <w:color w:val="auto"/>
                <w:kern w:val="2"/>
                <w:sz w:val="21"/>
                <w:szCs w:val="21"/>
                <w:lang w:val="en-US" w:eastAsia="zh-CN"/>
              </w:rPr>
              <w:t>一般要求</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6675.3-2014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GB 6675.3-2014</w:t>
            </w:r>
          </w:p>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5.1</w:t>
            </w:r>
          </w:p>
        </w:tc>
        <w:tc>
          <w:tcPr>
            <w:tcW w:w="9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c>
          <w:tcPr>
            <w:tcW w:w="841" w:type="dxa"/>
            <w:vAlign w:val="center"/>
          </w:tcPr>
          <w:p>
            <w:pPr>
              <w:pStyle w:val="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076" w:type="dxa"/>
            <w:gridSpan w:val="6"/>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四、特定元素的迁移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1</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可迁移元素最大限量</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 xml:space="preserve">GB 6675.4-2014 </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4.1</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 xml:space="preserve">GB 6675.4-2014 </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076" w:type="dxa"/>
            <w:gridSpan w:val="6"/>
            <w:vAlign w:val="center"/>
          </w:tcPr>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highlight w:val="none"/>
                <w:lang w:val="en-US" w:eastAsia="zh-CN"/>
              </w:rPr>
              <w:t>五、增塑剂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13"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highlight w:val="none"/>
                <w:lang w:val="en-US" w:eastAsia="zh-CN"/>
              </w:rPr>
              <w:t>1</w:t>
            </w:r>
          </w:p>
        </w:tc>
        <w:tc>
          <w:tcPr>
            <w:tcW w:w="20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highlight w:val="none"/>
              </w:rPr>
              <w:t>DEHP、DBP、 DIDP、DINP、BBP、DNOP</w:t>
            </w:r>
          </w:p>
        </w:tc>
        <w:tc>
          <w:tcPr>
            <w:tcW w:w="1985"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GB 6675.1-2014</w:t>
            </w:r>
          </w:p>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highlight w:val="none"/>
                <w:lang w:val="en-US" w:eastAsia="zh-CN"/>
              </w:rPr>
              <w:t xml:space="preserve"> 5.3.7</w:t>
            </w:r>
          </w:p>
        </w:tc>
        <w:tc>
          <w:tcPr>
            <w:tcW w:w="2619"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highlight w:val="none"/>
                <w:lang w:val="en-US" w:eastAsia="zh-CN"/>
              </w:rPr>
              <w:t>GB/T 22048-2015</w:t>
            </w:r>
          </w:p>
        </w:tc>
        <w:tc>
          <w:tcPr>
            <w:tcW w:w="906"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highlight w:val="none"/>
                <w:lang w:val="en-US" w:eastAsia="zh-CN"/>
              </w:rPr>
              <w:t>●</w:t>
            </w:r>
          </w:p>
        </w:tc>
        <w:tc>
          <w:tcPr>
            <w:tcW w:w="841" w:type="dxa"/>
            <w:vAlign w:val="center"/>
          </w:tcPr>
          <w:p>
            <w:pPr>
              <w:pStyle w:val="2"/>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07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Cs/>
                <w:color w:val="auto"/>
                <w:kern w:val="0"/>
                <w:sz w:val="18"/>
                <w:szCs w:val="18"/>
              </w:rPr>
            </w:pPr>
            <w:r>
              <w:rPr>
                <w:rFonts w:hint="default" w:ascii="Times New Roman" w:hAnsi="Times New Roman" w:cs="Times New Roman"/>
                <w:bCs/>
                <w:color w:val="auto"/>
                <w:kern w:val="0"/>
                <w:sz w:val="18"/>
                <w:szCs w:val="18"/>
              </w:rPr>
              <w:t>a极重要质量项目。</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Cs/>
                <w:color w:val="auto"/>
                <w:sz w:val="18"/>
                <w:szCs w:val="18"/>
                <w:lang w:val="en-US" w:eastAsia="zh-CN"/>
              </w:rPr>
            </w:pPr>
            <w:r>
              <w:rPr>
                <w:rFonts w:hint="default" w:ascii="Times New Roman" w:hAnsi="Times New Roman" w:cs="Times New Roman"/>
                <w:bCs/>
                <w:color w:val="auto"/>
                <w:sz w:val="18"/>
                <w:szCs w:val="18"/>
                <w:lang w:val="en-US" w:eastAsia="zh-CN"/>
              </w:rPr>
              <w:t>b重要质量项目。</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18"/>
                <w:szCs w:val="18"/>
                <w:lang w:val="en-US" w:eastAsia="zh-CN"/>
              </w:rPr>
              <w:t>适用范围内的童车，对上列检验项目逐一进行检测时，遇不适用项目不进行判定，但检验报告应标明不适用项。</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3 判定规则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3.1依据标准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en-US"/>
        </w:rPr>
        <w:t>GB</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lang w:val="en-US" w:eastAsia="en-US"/>
        </w:rPr>
        <w:t>14748</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en-US"/>
        </w:rPr>
        <w:t>2006</w:t>
      </w:r>
      <w:r>
        <w:rPr>
          <w:rFonts w:hint="eastAsia" w:ascii="Times New Roman" w:hAnsi="Times New Roman" w:cs="Times New Roman"/>
          <w:color w:val="auto"/>
          <w:szCs w:val="21"/>
          <w:lang w:val="en-US" w:eastAsia="zh-CN"/>
        </w:rPr>
        <w:t xml:space="preserve"> </w:t>
      </w:r>
      <w:r>
        <w:rPr>
          <w:rFonts w:hint="default" w:ascii="Times New Roman" w:hAnsi="Times New Roman" w:cs="Times New Roman"/>
          <w:color w:val="auto"/>
          <w:szCs w:val="21"/>
          <w:lang w:val="en-US" w:eastAsia="zh-CN"/>
        </w:rPr>
        <w:t>《儿童推车安全要求》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en-US"/>
        </w:rPr>
        <w:t>GB</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lang w:val="en-US" w:eastAsia="en-US"/>
        </w:rPr>
        <w:t>14749</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en-US"/>
        </w:rPr>
        <w:t>2006</w:t>
      </w:r>
      <w:r>
        <w:rPr>
          <w:rFonts w:hint="eastAsia" w:ascii="Times New Roman" w:hAnsi="Times New Roman" w:cs="Times New Roman"/>
          <w:color w:val="auto"/>
          <w:szCs w:val="21"/>
          <w:lang w:val="en-US" w:eastAsia="zh-CN"/>
        </w:rPr>
        <w:t xml:space="preserve"> </w:t>
      </w:r>
      <w:r>
        <w:rPr>
          <w:rFonts w:hint="default" w:ascii="Times New Roman" w:hAnsi="Times New Roman" w:cs="Times New Roman"/>
          <w:color w:val="auto"/>
          <w:szCs w:val="21"/>
          <w:lang w:val="en-US" w:eastAsia="zh-CN"/>
        </w:rPr>
        <w:t>《婴儿学步车安全要求》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GB 6675.1-2014</w:t>
      </w:r>
      <w:r>
        <w:rPr>
          <w:rFonts w:hint="eastAsia" w:ascii="Times New Roman" w:hAnsi="Times New Roman" w:cs="Times New Roman"/>
          <w:color w:val="auto"/>
          <w:szCs w:val="21"/>
          <w:lang w:val="en-US" w:eastAsia="zh-CN"/>
        </w:rPr>
        <w:t xml:space="preserve"> </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玩具安全 第1部分：基本规范</w:t>
      </w:r>
      <w:r>
        <w:rPr>
          <w:rFonts w:hint="default" w:ascii="Times New Roman" w:hAnsi="Times New Roman" w:cs="Times New Roman"/>
          <w:color w:val="auto"/>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lang w:val="en-US" w:eastAsia="en-US"/>
        </w:rPr>
        <w:t>GB 6675</w:t>
      </w: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lang w:val="en-US" w:eastAsia="en-US"/>
        </w:rPr>
        <w:t>2014</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国家玩具安全 第2部分：机械与物理性能</w:t>
      </w:r>
      <w:r>
        <w:rPr>
          <w:rFonts w:hint="default" w:ascii="Times New Roman" w:hAnsi="Times New Roman" w:cs="Times New Roman"/>
          <w:color w:val="auto"/>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lang w:val="en-US" w:eastAsia="en-US"/>
        </w:rPr>
        <w:t>GB 6675.3</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en-US"/>
        </w:rPr>
        <w:t>2014</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玩具安全 第3部分：易燃性能</w:t>
      </w:r>
      <w:r>
        <w:rPr>
          <w:rFonts w:hint="default" w:ascii="Times New Roman" w:hAnsi="Times New Roman" w:cs="Times New Roman"/>
          <w:color w:val="auto"/>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en-US"/>
        </w:rPr>
        <w:t>GB 6675.4</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en-US"/>
        </w:rPr>
        <w:t xml:space="preserve">2014 </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rPr>
        <w:t>玩具安全 第4部分：特定元素的迁移</w:t>
      </w:r>
      <w:r>
        <w:rPr>
          <w:rFonts w:hint="default" w:ascii="Times New Roman" w:hAnsi="Times New Roman" w:cs="Times New Roman"/>
          <w:color w:val="auto"/>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bCs/>
          <w:color w:val="auto"/>
          <w:sz w:val="21"/>
          <w:szCs w:val="21"/>
          <w:highlight w:val="none"/>
          <w:lang w:val="en-US" w:eastAsia="zh-CN"/>
        </w:rPr>
        <w:t>GB/T 22048-2015</w:t>
      </w:r>
      <w:r>
        <w:rPr>
          <w:rFonts w:hint="eastAsia" w:ascii="Times New Roman" w:hAnsi="Times New Roman" w:cs="Times New Roman"/>
          <w:bCs/>
          <w:color w:val="auto"/>
          <w:sz w:val="21"/>
          <w:szCs w:val="21"/>
          <w:highlight w:val="none"/>
          <w:lang w:val="en-US" w:eastAsia="zh-CN"/>
        </w:rPr>
        <w:t xml:space="preserve"> 《玩具及儿童用品中特定邻苯二甲酸酯增塑剂的测定》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相关的法律、行政法规、部门规章、规范性文件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auto"/>
          <w:spacing w:val="0"/>
          <w:w w:val="100"/>
          <w:position w:val="0"/>
          <w:sz w:val="21"/>
          <w:szCs w:val="21"/>
          <w:lang w:val="en-US" w:eastAsia="zh-CN"/>
        </w:rPr>
      </w:pPr>
      <w:r>
        <w:rPr>
          <w:rFonts w:hint="default" w:ascii="Times New Roman" w:hAnsi="Times New Roman" w:cs="Times New Roman"/>
          <w:color w:val="auto"/>
          <w:szCs w:val="21"/>
        </w:rPr>
        <w:t>3.2判定原则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auto"/>
          <w:szCs w:val="21"/>
        </w:rPr>
      </w:pPr>
      <w:r>
        <w:rPr>
          <w:rFonts w:hint="default" w:ascii="Times New Roman" w:hAnsi="Times New Roman" w:cs="Times New Roman"/>
          <w:color w:val="000000"/>
          <w:szCs w:val="21"/>
        </w:rPr>
        <w:t>经检验，</w:t>
      </w:r>
      <w:r>
        <w:rPr>
          <w:rFonts w:hint="eastAsia" w:ascii="Times New Roman" w:hAnsi="Times New Roman" w:cs="Times New Roman"/>
          <w:color w:val="000000"/>
          <w:szCs w:val="21"/>
          <w:lang w:eastAsia="zh-CN"/>
        </w:rPr>
        <w:t>所</w:t>
      </w:r>
      <w:r>
        <w:rPr>
          <w:rFonts w:hint="default" w:ascii="Times New Roman" w:hAnsi="Times New Roman" w:cs="Times New Roman"/>
          <w:color w:val="000000"/>
          <w:szCs w:val="21"/>
        </w:rPr>
        <w:t>检验项目全部</w:t>
      </w:r>
      <w:r>
        <w:rPr>
          <w:rFonts w:hint="eastAsia" w:ascii="Times New Roman" w:hAnsi="Times New Roman" w:cs="Times New Roman"/>
          <w:color w:val="000000"/>
          <w:szCs w:val="21"/>
          <w:lang w:eastAsia="zh-CN"/>
        </w:rPr>
        <w:t>符合标准要求</w:t>
      </w:r>
      <w:r>
        <w:rPr>
          <w:rFonts w:hint="default" w:ascii="Times New Roman" w:hAnsi="Times New Roman" w:cs="Times New Roman"/>
          <w:color w:val="000000"/>
          <w:szCs w:val="21"/>
        </w:rPr>
        <w:t>，判定为被抽查产品</w:t>
      </w:r>
      <w:r>
        <w:rPr>
          <w:rFonts w:hint="eastAsia" w:ascii="Times New Roman" w:hAnsi="Times New Roman" w:cs="Times New Roman"/>
          <w:color w:val="000000"/>
          <w:szCs w:val="21"/>
          <w:lang w:eastAsia="zh-CN"/>
        </w:rPr>
        <w:t>未发现不</w:t>
      </w:r>
      <w:r>
        <w:rPr>
          <w:rFonts w:hint="default" w:ascii="Times New Roman" w:hAnsi="Times New Roman" w:cs="Times New Roman"/>
          <w:color w:val="000000"/>
          <w:szCs w:val="21"/>
        </w:rPr>
        <w:t>合格</w:t>
      </w:r>
      <w:r>
        <w:rPr>
          <w:rFonts w:hint="default" w:ascii="Times New Roman" w:hAnsi="Times New Roman" w:cs="Times New Roman"/>
          <w:color w:val="auto"/>
          <w:szCs w:val="21"/>
        </w:rPr>
        <w:t>；检验项目中任一项或一项以上不合格，判定为被抽查产品不合格。</w:t>
      </w:r>
      <w:r>
        <w:rPr>
          <w:rFonts w:hint="default" w:ascii="Times New Roman" w:hAnsi="Times New Roman" w:cs="Times New Roman"/>
          <w:color w:val="auto"/>
          <w:szCs w:val="21"/>
          <w:highlight w:val="none"/>
        </w:rPr>
        <w:t>其中，当产品存在A类项目不合格或3项及以上B类项目不合格时，属于严重不合格。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若被检产品明示的质量要求低于或包含</w:t>
      </w:r>
      <w:r>
        <w:rPr>
          <w:rFonts w:hint="default" w:ascii="Times New Roman" w:hAnsi="Times New Roman" w:cs="Times New Roman"/>
          <w:color w:val="auto"/>
          <w:szCs w:val="21"/>
          <w:lang w:eastAsia="zh-CN"/>
        </w:rPr>
        <w:t>本</w:t>
      </w:r>
      <w:r>
        <w:rPr>
          <w:rFonts w:hint="default" w:ascii="Times New Roman" w:hAnsi="Times New Roman" w:cs="Times New Roman"/>
          <w:color w:val="auto"/>
          <w:szCs w:val="21"/>
        </w:rPr>
        <w:t>细则中检验项目依据的推荐性标准要求时，应以被检产品明示的质量要求判定，但应在检验报告备注中进行说明。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auto"/>
          <w:szCs w:val="21"/>
          <w:lang w:val="zh-CN" w:eastAsia="zh-CN"/>
        </w:rPr>
      </w:pPr>
      <w:r>
        <w:rPr>
          <w:rFonts w:hint="default" w:ascii="Times New Roman" w:hAnsi="Times New Roman" w:cs="Times New Roman"/>
          <w:color w:val="auto"/>
          <w:szCs w:val="21"/>
        </w:rPr>
        <w:t>若被检产品明示的质量要求缺少本细则中检验项目依据的推荐性标准要求时，该项目不参与判定，但应在检验报告备注中进行说明。</w:t>
      </w:r>
    </w:p>
    <w:p>
      <w:pPr>
        <w:snapToGrid w:val="0"/>
        <w:spacing w:line="440" w:lineRule="exact"/>
        <w:rPr>
          <w:rFonts w:hint="default" w:ascii="Times New Roman" w:hAnsi="Times New Roman" w:cs="Times New Roman"/>
          <w:color w:val="auto"/>
          <w:spacing w:val="0"/>
          <w:w w:val="100"/>
          <w:position w:val="0"/>
          <w:sz w:val="21"/>
          <w:szCs w:val="21"/>
          <w:lang w:val="en-US" w:eastAsia="zh-CN"/>
        </w:rPr>
      </w:pPr>
    </w:p>
    <w:sectPr>
      <w:headerReference r:id="rId3" w:type="default"/>
      <w:footerReference r:id="rId4" w:type="default"/>
      <w:pgSz w:w="11906" w:h="16838"/>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1024" behindDoc="1" locked="0" layoutInCell="1" allowOverlap="1">
              <wp:simplePos x="0" y="0"/>
              <wp:positionH relativeFrom="page">
                <wp:posOffset>539750</wp:posOffset>
              </wp:positionH>
              <wp:positionV relativeFrom="page">
                <wp:posOffset>293370</wp:posOffset>
              </wp:positionV>
              <wp:extent cx="5833745" cy="0"/>
              <wp:effectExtent l="0" t="0" r="0" b="0"/>
              <wp:wrapNone/>
              <wp:docPr id="83" name="Shape 83"/>
              <wp:cNvGraphicFramePr/>
              <a:graphic xmlns:a="http://schemas.openxmlformats.org/drawingml/2006/main">
                <a:graphicData uri="http://schemas.microsoft.com/office/word/2010/wordprocessingShape">
                  <wps:wsp>
                    <wps:cNvCnPr/>
                    <wps:spPr>
                      <a:xfrm>
                        <a:off x="0" y="0"/>
                        <a:ext cx="5833745" cy="0"/>
                      </a:xfrm>
                      <a:prstGeom prst="straightConnector1">
                        <a:avLst/>
                      </a:prstGeom>
                      <a:ln w="12700">
                        <a:solidFill>
                          <a:srgbClr val="FFFFFF"/>
                        </a:solidFill>
                      </a:ln>
                    </wps:spPr>
                    <wps:bodyPr/>
                  </wps:wsp>
                </a:graphicData>
              </a:graphic>
            </wp:anchor>
          </w:drawing>
        </mc:Choice>
        <mc:Fallback>
          <w:pict>
            <v:shape id="Shape 83" o:spid="_x0000_s1026" o:spt="32" type="#_x0000_t32" style="position:absolute;left:0pt;margin-left:42.5pt;margin-top:23.1pt;height:0pt;width:459.35pt;mso-position-horizontal-relative:page;mso-position-vertical-relative:page;z-index:-503315456;mso-width-relative:page;mso-height-relative:page;" filled="f" stroked="t" coordsize="21600,21600" o:gfxdata="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8yBoidYAAAAJAQAADwAAAAAAAAABACAAAAAiAAAAZHJzL2Rvd25yZXYu&#10;eG1sUEsBAhQAFAAAAAgAh07iQMPvyBqLAQAADgMAAA4AAAAAAAAAAQAgAAAAJQEAAGRycy9lMm9E&#10;b2MueG1sUEsFBgAAAAAGAAYAWQEAACIFAAAAAA==&#10;">
              <v:fill on="f" focussize="0,0"/>
              <v:stroke weight="1pt" color="#FFFFFF"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406B6"/>
    <w:rsid w:val="038E7E59"/>
    <w:rsid w:val="045C3E1E"/>
    <w:rsid w:val="04855881"/>
    <w:rsid w:val="04C64FA1"/>
    <w:rsid w:val="04C8739B"/>
    <w:rsid w:val="057E09FA"/>
    <w:rsid w:val="058D28EB"/>
    <w:rsid w:val="07A9741F"/>
    <w:rsid w:val="09064AD4"/>
    <w:rsid w:val="09961D7A"/>
    <w:rsid w:val="0B487F29"/>
    <w:rsid w:val="0B9E3046"/>
    <w:rsid w:val="0C651DB3"/>
    <w:rsid w:val="0D2A2AA6"/>
    <w:rsid w:val="0D9073F8"/>
    <w:rsid w:val="0DF534BB"/>
    <w:rsid w:val="0F1958B6"/>
    <w:rsid w:val="0F332EC4"/>
    <w:rsid w:val="10C55644"/>
    <w:rsid w:val="10E83AD8"/>
    <w:rsid w:val="117C2717"/>
    <w:rsid w:val="13272841"/>
    <w:rsid w:val="13FD6B98"/>
    <w:rsid w:val="14B851EE"/>
    <w:rsid w:val="14E145A2"/>
    <w:rsid w:val="154B6FBB"/>
    <w:rsid w:val="174E1D9E"/>
    <w:rsid w:val="17564C79"/>
    <w:rsid w:val="19D677B1"/>
    <w:rsid w:val="1AA87E46"/>
    <w:rsid w:val="1B1777E3"/>
    <w:rsid w:val="1C795A35"/>
    <w:rsid w:val="1ED10150"/>
    <w:rsid w:val="1F057429"/>
    <w:rsid w:val="1FDA4431"/>
    <w:rsid w:val="212C75BE"/>
    <w:rsid w:val="21711045"/>
    <w:rsid w:val="22121D29"/>
    <w:rsid w:val="22232E49"/>
    <w:rsid w:val="25340D35"/>
    <w:rsid w:val="25852975"/>
    <w:rsid w:val="25A61720"/>
    <w:rsid w:val="273D3FEA"/>
    <w:rsid w:val="29F36EA4"/>
    <w:rsid w:val="2A873351"/>
    <w:rsid w:val="2AE510E2"/>
    <w:rsid w:val="2B825251"/>
    <w:rsid w:val="2C636AEE"/>
    <w:rsid w:val="2FD774DC"/>
    <w:rsid w:val="30F05EB2"/>
    <w:rsid w:val="31802F95"/>
    <w:rsid w:val="339E468B"/>
    <w:rsid w:val="33D50BCB"/>
    <w:rsid w:val="34D84AC5"/>
    <w:rsid w:val="35D445EC"/>
    <w:rsid w:val="364A15AE"/>
    <w:rsid w:val="36740710"/>
    <w:rsid w:val="3739678D"/>
    <w:rsid w:val="37894309"/>
    <w:rsid w:val="37C77323"/>
    <w:rsid w:val="37FD465C"/>
    <w:rsid w:val="38D478CF"/>
    <w:rsid w:val="39DA3289"/>
    <w:rsid w:val="39FA044F"/>
    <w:rsid w:val="3C417CAF"/>
    <w:rsid w:val="3C6E7798"/>
    <w:rsid w:val="3C864D7B"/>
    <w:rsid w:val="3D8D472A"/>
    <w:rsid w:val="3DE32E47"/>
    <w:rsid w:val="3F3311B0"/>
    <w:rsid w:val="3FA013AF"/>
    <w:rsid w:val="400F1E74"/>
    <w:rsid w:val="40163FF1"/>
    <w:rsid w:val="409C50EE"/>
    <w:rsid w:val="43D114C8"/>
    <w:rsid w:val="45FD1461"/>
    <w:rsid w:val="479A2D9A"/>
    <w:rsid w:val="48525E85"/>
    <w:rsid w:val="487244CB"/>
    <w:rsid w:val="49204A47"/>
    <w:rsid w:val="49FC7E3F"/>
    <w:rsid w:val="4B0321F1"/>
    <w:rsid w:val="4B627335"/>
    <w:rsid w:val="4B630ACF"/>
    <w:rsid w:val="4CC50CE5"/>
    <w:rsid w:val="4D1261FC"/>
    <w:rsid w:val="4DFB01B2"/>
    <w:rsid w:val="4F307336"/>
    <w:rsid w:val="500A3185"/>
    <w:rsid w:val="508D64A7"/>
    <w:rsid w:val="51302576"/>
    <w:rsid w:val="514A72C8"/>
    <w:rsid w:val="530D1BE5"/>
    <w:rsid w:val="531C53B6"/>
    <w:rsid w:val="53366620"/>
    <w:rsid w:val="53EE1ACE"/>
    <w:rsid w:val="555F7284"/>
    <w:rsid w:val="56D43AFB"/>
    <w:rsid w:val="57002298"/>
    <w:rsid w:val="570276B5"/>
    <w:rsid w:val="58361348"/>
    <w:rsid w:val="5A075C94"/>
    <w:rsid w:val="5AF37416"/>
    <w:rsid w:val="5C3B3E32"/>
    <w:rsid w:val="5CC62040"/>
    <w:rsid w:val="5D207A50"/>
    <w:rsid w:val="5D384B44"/>
    <w:rsid w:val="5F3C15C4"/>
    <w:rsid w:val="5F8640F3"/>
    <w:rsid w:val="5FD1003D"/>
    <w:rsid w:val="60AA79D4"/>
    <w:rsid w:val="619A2D42"/>
    <w:rsid w:val="619F7D5B"/>
    <w:rsid w:val="61C12FBA"/>
    <w:rsid w:val="61E821ED"/>
    <w:rsid w:val="63796B4A"/>
    <w:rsid w:val="6440271A"/>
    <w:rsid w:val="64C90D57"/>
    <w:rsid w:val="65E2395D"/>
    <w:rsid w:val="66D701DE"/>
    <w:rsid w:val="690A5190"/>
    <w:rsid w:val="6B6B5098"/>
    <w:rsid w:val="6B733F47"/>
    <w:rsid w:val="6BDF523B"/>
    <w:rsid w:val="6C487D2C"/>
    <w:rsid w:val="6D5523E6"/>
    <w:rsid w:val="6DB40B81"/>
    <w:rsid w:val="6E425B16"/>
    <w:rsid w:val="6F303F66"/>
    <w:rsid w:val="6F3A0B0F"/>
    <w:rsid w:val="700F06B1"/>
    <w:rsid w:val="708B3E04"/>
    <w:rsid w:val="7326306C"/>
    <w:rsid w:val="73945D4B"/>
    <w:rsid w:val="760A6643"/>
    <w:rsid w:val="770C688B"/>
    <w:rsid w:val="77E56425"/>
    <w:rsid w:val="78157851"/>
    <w:rsid w:val="79E94582"/>
    <w:rsid w:val="7A3C1162"/>
    <w:rsid w:val="7B1F70EE"/>
    <w:rsid w:val="7B6406B6"/>
    <w:rsid w:val="7BF63FE5"/>
    <w:rsid w:val="7C30088D"/>
    <w:rsid w:val="7EB85320"/>
    <w:rsid w:val="7EEE00B8"/>
    <w:rsid w:val="7F900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semiHidden/>
    <w:qFormat/>
    <w:uiPriority w:val="99"/>
    <w:rPr>
      <w:rFonts w:ascii="宋体" w:hAnsi="Courier New"/>
      <w:kern w:val="0"/>
      <w:sz w:val="20"/>
      <w:szCs w:val="20"/>
    </w:rPr>
  </w:style>
  <w:style w:type="paragraph" w:styleId="3">
    <w:name w:val="footer"/>
    <w:basedOn w:val="1"/>
    <w:qFormat/>
    <w:uiPriority w:val="99"/>
    <w:pPr>
      <w:tabs>
        <w:tab w:val="center" w:pos="4153"/>
        <w:tab w:val="right" w:pos="8306"/>
      </w:tabs>
      <w:snapToGrid w:val="0"/>
      <w:jc w:val="left"/>
    </w:pPr>
    <w:rPr>
      <w:kern w:val="0"/>
      <w:sz w:val="18"/>
      <w:szCs w:val="18"/>
    </w:rPr>
  </w:style>
  <w:style w:type="character" w:styleId="5">
    <w:name w:val="FollowedHyperlink"/>
    <w:basedOn w:val="4"/>
    <w:qFormat/>
    <w:uiPriority w:val="0"/>
    <w:rPr>
      <w:color w:val="333333"/>
      <w:u w:val="none"/>
    </w:rPr>
  </w:style>
  <w:style w:type="character" w:styleId="6">
    <w:name w:val="Hyperlink"/>
    <w:basedOn w:val="4"/>
    <w:qFormat/>
    <w:uiPriority w:val="0"/>
    <w:rPr>
      <w:color w:val="333333"/>
      <w:u w:val="none"/>
    </w:rPr>
  </w:style>
  <w:style w:type="paragraph" w:customStyle="1" w:styleId="8">
    <w:name w:val="Body text|2"/>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9">
    <w:name w:val="Other|1"/>
    <w:basedOn w:val="1"/>
    <w:qFormat/>
    <w:uiPriority w:val="0"/>
    <w:pPr>
      <w:widowControl w:val="0"/>
      <w:shd w:val="clear" w:color="auto" w:fill="auto"/>
      <w:jc w:val="center"/>
    </w:pPr>
    <w:rPr>
      <w:rFonts w:ascii="宋体" w:hAnsi="宋体" w:eastAsia="宋体" w:cs="宋体"/>
      <w:sz w:val="16"/>
      <w:szCs w:val="16"/>
      <w:u w:val="none"/>
      <w:shd w:val="clear" w:color="auto" w:fill="auto"/>
      <w:lang w:val="zh-TW" w:eastAsia="zh-TW" w:bidi="zh-TW"/>
    </w:rPr>
  </w:style>
  <w:style w:type="paragraph" w:customStyle="1" w:styleId="10">
    <w:name w:val="Table caption|1"/>
    <w:basedOn w:val="1"/>
    <w:qFormat/>
    <w:uiPriority w:val="0"/>
    <w:pPr>
      <w:widowControl w:val="0"/>
      <w:shd w:val="clear" w:color="auto" w:fill="auto"/>
    </w:pPr>
    <w:rPr>
      <w:rFonts w:ascii="宋体" w:hAnsi="宋体" w:eastAsia="宋体" w:cs="宋体"/>
      <w:sz w:val="16"/>
      <w:szCs w:val="16"/>
      <w:u w:val="none"/>
      <w:shd w:val="clear" w:color="auto" w:fill="auto"/>
      <w:lang w:val="zh-TW" w:eastAsia="zh-TW" w:bidi="zh-TW"/>
    </w:rPr>
  </w:style>
  <w:style w:type="paragraph" w:customStyle="1" w:styleId="11">
    <w:name w:val="Header or footer|2"/>
    <w:basedOn w:val="1"/>
    <w:qFormat/>
    <w:uiPriority w:val="0"/>
    <w:pPr>
      <w:widowControl w:val="0"/>
      <w:shd w:val="clear" w:color="auto" w:fill="auto"/>
    </w:pPr>
    <w:rPr>
      <w:sz w:val="20"/>
      <w:szCs w:val="20"/>
      <w:u w:val="none"/>
      <w:shd w:val="clear" w:color="auto" w:fill="auto"/>
    </w:rPr>
  </w:style>
  <w:style w:type="paragraph" w:customStyle="1" w:styleId="12">
    <w:name w:val="列项·"/>
    <w:qFormat/>
    <w:uiPriority w:val="99"/>
    <w:pPr>
      <w:tabs>
        <w:tab w:val="left" w:pos="840"/>
      </w:tabs>
      <w:ind w:left="420"/>
      <w:jc w:val="both"/>
    </w:pPr>
    <w:rPr>
      <w:rFonts w:ascii="宋体" w:hAnsi="Times New Roman" w:eastAsia="宋体" w:cs="Times New Roman"/>
      <w:sz w:val="21"/>
      <w:lang w:val="en-US" w:eastAsia="zh-CN" w:bidi="ar-SA"/>
    </w:rPr>
  </w:style>
  <w:style w:type="character" w:customStyle="1" w:styleId="13">
    <w:name w:val="zbutton"/>
    <w:basedOn w:val="4"/>
    <w:qFormat/>
    <w:uiPriority w:val="0"/>
  </w:style>
  <w:style w:type="character" w:customStyle="1" w:styleId="14">
    <w:name w:val="l-open"/>
    <w:basedOn w:val="4"/>
    <w:qFormat/>
    <w:uiPriority w:val="0"/>
  </w:style>
  <w:style w:type="character" w:customStyle="1" w:styleId="15">
    <w:name w:val="file"/>
    <w:basedOn w:val="4"/>
    <w:qFormat/>
    <w:uiPriority w:val="0"/>
  </w:style>
  <w:style w:type="character" w:customStyle="1" w:styleId="16">
    <w:name w:val="folder"/>
    <w:basedOn w:val="4"/>
    <w:qFormat/>
    <w:uiPriority w:val="0"/>
  </w:style>
  <w:style w:type="character" w:customStyle="1" w:styleId="17">
    <w:name w:val="tmpztreemove_arrow"/>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2020-01-10T01:39:00Z</dcterms:created>
  <dc:creator>N世界的孩子</dc:creator>
  <cp:lastModifiedBy>冯家宝</cp:lastModifiedBy>
  <dcterms:modified xsi:type="dcterms:W3CDTF">2020-01-31T07:29:48Z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