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方正小标宋简体" w:cs="Times New Roman"/>
          <w:color w:val="000000"/>
          <w:sz w:val="32"/>
          <w:szCs w:val="32"/>
        </w:rPr>
      </w:pPr>
      <w:bookmarkStart w:id="3" w:name="_GoBack"/>
      <w:bookmarkEnd w:id="3"/>
      <w:bookmarkStart w:id="0" w:name="bookmark2"/>
      <w:bookmarkStart w:id="1" w:name="bookmark1"/>
      <w:bookmarkStart w:id="2" w:name="bookmark0"/>
      <w:r>
        <w:rPr>
          <w:rFonts w:hint="default" w:ascii="Times New Roman" w:hAnsi="Times New Roman" w:eastAsia="方正小标宋简体" w:cs="Times New Roman"/>
          <w:color w:val="000000"/>
          <w:sz w:val="32"/>
          <w:szCs w:val="32"/>
        </w:rPr>
        <w:t>广州市</w:t>
      </w:r>
      <w:r>
        <w:rPr>
          <w:rFonts w:hint="eastAsia" w:ascii="Times New Roman" w:hAnsi="Times New Roman" w:eastAsia="方正小标宋简体" w:cs="Times New Roman"/>
          <w:color w:val="000000"/>
          <w:sz w:val="32"/>
          <w:szCs w:val="32"/>
          <w:lang w:eastAsia="zh-CN"/>
        </w:rPr>
        <w:t>市场监督管理局</w:t>
      </w:r>
      <w:r>
        <w:rPr>
          <w:rFonts w:hint="default" w:ascii="Times New Roman" w:hAnsi="Times New Roman" w:eastAsia="方正小标宋简体" w:cs="Times New Roman"/>
          <w:color w:val="000000"/>
          <w:sz w:val="32"/>
          <w:szCs w:val="32"/>
        </w:rPr>
        <w:t>吸油烟机产品</w:t>
      </w:r>
      <w:r>
        <w:rPr>
          <w:rFonts w:hint="default" w:ascii="Times New Roman" w:hAnsi="Times New Roman" w:eastAsia="方正小标宋简体" w:cs="Times New Roman"/>
          <w:color w:val="000000"/>
          <w:sz w:val="32"/>
          <w:szCs w:val="32"/>
          <w:lang w:eastAsia="zh-CN"/>
        </w:rPr>
        <w:t>质量</w:t>
      </w:r>
      <w:r>
        <w:rPr>
          <w:rFonts w:hint="default" w:ascii="Times New Roman" w:hAnsi="Times New Roman" w:eastAsia="方正小标宋简体" w:cs="Times New Roman"/>
          <w:color w:val="000000"/>
          <w:sz w:val="32"/>
          <w:szCs w:val="32"/>
        </w:rPr>
        <w:t>监督抽查实施细则</w:t>
      </w:r>
    </w:p>
    <w:p>
      <w:pPr>
        <w:snapToGrid w:val="0"/>
        <w:spacing w:line="44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1 抽样方法</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在企业的待销产品中随机抽取有产品质量检验合格证明或者以其他形式表明合格的、近期生产的产品。</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抽查样品基数满足抽样数量即可。</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每批次产品抽取样品</w:t>
      </w:r>
      <w:r>
        <w:rPr>
          <w:rFonts w:hint="default" w:ascii="Times New Roman" w:hAnsi="Times New Roman" w:cs="Times New Roman"/>
          <w:color w:val="000000"/>
          <w:sz w:val="21"/>
          <w:szCs w:val="21"/>
          <w:lang w:val="en-US" w:eastAsia="zh-CN"/>
        </w:rPr>
        <w:t>3台</w:t>
      </w:r>
      <w:r>
        <w:rPr>
          <w:rFonts w:hint="default" w:ascii="Times New Roman" w:hAnsi="Times New Roman" w:cs="Times New Roman"/>
          <w:color w:val="000000"/>
          <w:sz w:val="21"/>
          <w:szCs w:val="21"/>
        </w:rPr>
        <w:t>，其中</w:t>
      </w:r>
      <w:r>
        <w:rPr>
          <w:rFonts w:hint="default" w:ascii="Times New Roman" w:hAnsi="Times New Roman" w:cs="Times New Roman"/>
          <w:color w:val="000000"/>
          <w:sz w:val="21"/>
          <w:szCs w:val="21"/>
          <w:lang w:val="en-US" w:eastAsia="zh-CN"/>
        </w:rPr>
        <w:t>2台</w:t>
      </w:r>
      <w:r>
        <w:rPr>
          <w:rFonts w:hint="default" w:ascii="Times New Roman" w:hAnsi="Times New Roman" w:cs="Times New Roman"/>
          <w:color w:val="000000"/>
          <w:sz w:val="21"/>
          <w:szCs w:val="21"/>
        </w:rPr>
        <w:t>作为检验样品，1</w:t>
      </w:r>
      <w:r>
        <w:rPr>
          <w:rFonts w:hint="default" w:ascii="Times New Roman" w:hAnsi="Times New Roman" w:cs="Times New Roman"/>
          <w:color w:val="000000"/>
          <w:sz w:val="21"/>
          <w:szCs w:val="21"/>
          <w:lang w:eastAsia="zh-CN"/>
        </w:rPr>
        <w:t>台</w:t>
      </w:r>
      <w:r>
        <w:rPr>
          <w:rFonts w:hint="default" w:ascii="Times New Roman" w:hAnsi="Times New Roman" w:cs="Times New Roman"/>
          <w:color w:val="000000"/>
          <w:sz w:val="21"/>
          <w:szCs w:val="21"/>
        </w:rPr>
        <w:t>作为备用样品。</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随机数一般可使用随机数表、随机数骰子或扑克牌等方法产生。</w:t>
      </w:r>
    </w:p>
    <w:p>
      <w:pPr>
        <w:snapToGrid w:val="0"/>
        <w:spacing w:line="44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2 检验依据</w:t>
      </w:r>
    </w:p>
    <w:p>
      <w:pPr>
        <w:snapToGrid w:val="0"/>
        <w:spacing w:line="44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本次抽查检验项目和检验方法依据见表1。</w:t>
      </w:r>
    </w:p>
    <w:p>
      <w:pPr>
        <w:snapToGrid w:val="0"/>
        <w:spacing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表1检验项目</w:t>
      </w:r>
    </w:p>
    <w:tbl>
      <w:tblPr>
        <w:tblStyle w:val="3"/>
        <w:tblW w:w="8820" w:type="dxa"/>
        <w:jc w:val="center"/>
        <w:tblInd w:w="-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5"/>
        <w:gridCol w:w="2446"/>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7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312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44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5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w:t>
            </w:r>
            <w:r>
              <w:rPr>
                <w:rFonts w:hint="eastAsia" w:eastAsia="宋体" w:cs="Times New Roman"/>
                <w:color w:val="000000"/>
                <w:sz w:val="21"/>
                <w:szCs w:val="21"/>
                <w:lang w:eastAsia="zh-CN"/>
              </w:rPr>
              <w:t>验</w:t>
            </w:r>
            <w:r>
              <w:rPr>
                <w:rFonts w:hint="default" w:ascii="Times New Roman" w:hAnsi="Times New Roman" w:cs="Times New Roman"/>
                <w:color w:val="000000"/>
                <w:sz w:val="21"/>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7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31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对触及带电部件的防护</w:t>
            </w:r>
          </w:p>
        </w:tc>
        <w:tc>
          <w:tcPr>
            <w:tcW w:w="244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4706.1</w:t>
            </w:r>
            <w:r>
              <w:rPr>
                <w:rFonts w:hint="eastAsia"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rPr>
              <w:t>2005</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4706.28</w:t>
            </w:r>
            <w:r>
              <w:rPr>
                <w:rFonts w:hint="eastAsia" w:eastAsia="宋体" w:cs="Times New Roman"/>
                <w:color w:val="000000"/>
                <w:sz w:val="21"/>
                <w:szCs w:val="21"/>
                <w:lang w:val="en-US" w:eastAsia="zh-CN"/>
              </w:rPr>
              <w:t>-</w:t>
            </w:r>
            <w:r>
              <w:rPr>
                <w:rFonts w:hint="default" w:ascii="Times New Roman" w:hAnsi="Times New Roman" w:cs="Times New Roman"/>
                <w:color w:val="000000"/>
                <w:sz w:val="21"/>
                <w:szCs w:val="21"/>
              </w:rPr>
              <w:t>2008</w:t>
            </w:r>
          </w:p>
        </w:tc>
        <w:tc>
          <w:tcPr>
            <w:tcW w:w="25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4706.1</w:t>
            </w:r>
            <w:r>
              <w:rPr>
                <w:rFonts w:hint="eastAsia"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rPr>
              <w:t>2005</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4706.28</w:t>
            </w:r>
            <w:r>
              <w:rPr>
                <w:rFonts w:hint="eastAsia"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输入功率和电流</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发热</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工作温度下的泄漏电流和电气强度</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耐潮湿</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泄漏电流和电气强度</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非正常工作（不包括第</w:t>
            </w:r>
            <w:r>
              <w:rPr>
                <w:rFonts w:hint="default" w:ascii="Times New Roman" w:hAnsi="Times New Roman" w:cs="Times New Roman"/>
                <w:color w:val="000000"/>
                <w:spacing w:val="0"/>
                <w:w w:val="100"/>
                <w:position w:val="0"/>
                <w:sz w:val="21"/>
                <w:szCs w:val="21"/>
                <w:lang w:val="en-US" w:eastAsia="en-US" w:bidi="en-US"/>
              </w:rPr>
              <w:t>19.11.</w:t>
            </w:r>
            <w:r>
              <w:rPr>
                <w:rFonts w:hint="default" w:ascii="Times New Roman" w:hAnsi="Times New Roman" w:cs="Times New Roman"/>
                <w:color w:val="000000"/>
                <w:spacing w:val="0"/>
                <w:w w:val="100"/>
                <w:position w:val="0"/>
                <w:sz w:val="21"/>
                <w:szCs w:val="21"/>
              </w:rPr>
              <w:t>4条的试验）</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稳定性和机械危险</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机械强度</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结构</w:t>
            </w:r>
            <w:r>
              <w:rPr>
                <w:rFonts w:hint="default" w:ascii="Times New Roman" w:hAnsi="Times New Roman" w:cs="Times New Roman"/>
                <w:kern w:val="0"/>
                <w:sz w:val="21"/>
                <w:szCs w:val="21"/>
                <w:lang w:val="en-US" w:eastAsia="zh-CN"/>
              </w:rPr>
              <w:t>（不包括第22.46条的试验）</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11</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内部布线</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电源连接及外部软线</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13</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外部导线用接线端子</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14</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接地措施</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15</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螺钉和连接</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16</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0"/>
                <w:w w:val="100"/>
                <w:position w:val="0"/>
                <w:sz w:val="21"/>
                <w:szCs w:val="21"/>
              </w:rPr>
              <w:t>电气间隙、爬电距离和固体绝缘</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17</w:t>
            </w:r>
          </w:p>
        </w:tc>
        <w:tc>
          <w:tcPr>
            <w:tcW w:w="3125" w:type="dxa"/>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Times New Roman" w:hAnsi="Times New Roman" w:cs="Times New Roman"/>
                <w:color w:val="000000"/>
                <w:spacing w:val="0"/>
                <w:w w:val="100"/>
                <w:position w:val="0"/>
                <w:sz w:val="21"/>
                <w:szCs w:val="21"/>
              </w:rPr>
            </w:pPr>
            <w:r>
              <w:rPr>
                <w:rFonts w:hint="default" w:ascii="Times New Roman" w:hAnsi="Times New Roman" w:eastAsia="宋体" w:cs="Times New Roman"/>
                <w:kern w:val="0"/>
                <w:sz w:val="21"/>
                <w:szCs w:val="21"/>
              </w:rPr>
              <w:t>耐热和耐燃</w:t>
            </w:r>
          </w:p>
        </w:tc>
        <w:tc>
          <w:tcPr>
            <w:tcW w:w="24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c>
          <w:tcPr>
            <w:tcW w:w="2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default" w:ascii="Times New Roman" w:hAnsi="Times New Roman" w:cs="Times New Roman"/>
                <w:color w:val="000000"/>
                <w:sz w:val="21"/>
                <w:szCs w:val="21"/>
              </w:rPr>
            </w:pPr>
          </w:p>
        </w:tc>
      </w:tr>
    </w:tbl>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bidi w:val="0"/>
        <w:adjustRightInd w:val="0"/>
        <w:snapToGrid w:val="0"/>
        <w:spacing w:line="360" w:lineRule="auto"/>
        <w:ind w:left="0" w:leftChars="0"/>
        <w:textAlignment w:val="auto"/>
        <w:outlineLvl w:val="9"/>
        <w:rPr>
          <w:rFonts w:hint="default" w:ascii="Times New Roman" w:hAnsi="Times New Roman" w:cs="Times New Roman"/>
          <w:b/>
          <w:sz w:val="21"/>
          <w:szCs w:val="21"/>
        </w:rPr>
      </w:pPr>
    </w:p>
    <w:p>
      <w:pPr>
        <w:spacing w:line="360" w:lineRule="auto"/>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3 判定规则</w:t>
      </w:r>
    </w:p>
    <w:p>
      <w:pPr>
        <w:snapToGrid w:val="0"/>
        <w:spacing w:line="4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3.1依据标准</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4706.1</w:t>
      </w:r>
      <w:r>
        <w:rPr>
          <w:rFonts w:hint="eastAsia"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rPr>
        <w:t>2005</w:t>
      </w:r>
      <w:r>
        <w:rPr>
          <w:rFonts w:hint="default" w:ascii="Times New Roman" w:hAnsi="Times New Roman" w:eastAsia="宋体" w:cs="Times New Roman"/>
          <w:color w:val="000000"/>
          <w:sz w:val="21"/>
          <w:szCs w:val="21"/>
          <w:lang w:eastAsia="zh-CN"/>
        </w:rPr>
        <w:t>《</w:t>
      </w:r>
      <w:r>
        <w:rPr>
          <w:rFonts w:hint="default" w:ascii="Times New Roman" w:hAnsi="Times New Roman" w:cs="Times New Roman"/>
          <w:color w:val="000000"/>
          <w:sz w:val="21"/>
          <w:szCs w:val="21"/>
        </w:rPr>
        <w:t>家用和类似用途电器的安全 第1部分：通用要求</w:t>
      </w:r>
      <w:r>
        <w:rPr>
          <w:rFonts w:hint="default" w:ascii="Times New Roman" w:hAnsi="Times New Roman" w:eastAsia="宋体" w:cs="Times New Roman"/>
          <w:color w:val="000000"/>
          <w:sz w:val="21"/>
          <w:szCs w:val="21"/>
          <w:lang w:eastAsia="zh-CN"/>
        </w:rPr>
        <w:t>》</w:t>
      </w:r>
    </w:p>
    <w:p>
      <w:pPr>
        <w:snapToGrid w:val="0"/>
        <w:spacing w:line="440" w:lineRule="exact"/>
        <w:ind w:firstLine="420" w:firstLineChars="200"/>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GB 4706.28</w:t>
      </w:r>
      <w:r>
        <w:rPr>
          <w:rFonts w:hint="eastAsia"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rPr>
        <w:t>2008</w:t>
      </w:r>
      <w:r>
        <w:rPr>
          <w:rFonts w:hint="default" w:ascii="Times New Roman" w:hAnsi="Times New Roman" w:eastAsia="宋体" w:cs="Times New Roman"/>
          <w:color w:val="000000"/>
          <w:sz w:val="21"/>
          <w:szCs w:val="21"/>
          <w:lang w:eastAsia="zh-CN"/>
        </w:rPr>
        <w:t>《</w:t>
      </w:r>
      <w:r>
        <w:rPr>
          <w:rFonts w:hint="default" w:ascii="Times New Roman" w:hAnsi="Times New Roman" w:cs="Times New Roman"/>
          <w:color w:val="000000"/>
          <w:sz w:val="21"/>
          <w:szCs w:val="21"/>
        </w:rPr>
        <w:t>家用和类似用途电器的安全吸油烟机的特殊要求</w:t>
      </w:r>
      <w:r>
        <w:rPr>
          <w:rFonts w:hint="default" w:ascii="Times New Roman" w:hAnsi="Times New Roman" w:eastAsia="宋体" w:cs="Times New Roman"/>
          <w:color w:val="000000"/>
          <w:sz w:val="21"/>
          <w:szCs w:val="21"/>
          <w:lang w:eastAsia="zh-CN"/>
        </w:rPr>
        <w:t>》</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相关的法律、行政法规、部门规章、规范性文件</w:t>
      </w:r>
    </w:p>
    <w:p>
      <w:pPr>
        <w:snapToGrid w:val="0"/>
        <w:spacing w:line="440" w:lineRule="exact"/>
        <w:ind w:firstLine="464" w:firstLineChars="221"/>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现行有效的企业标准、团体标准、地方标准及产品明示质量要求</w:t>
      </w:r>
    </w:p>
    <w:p>
      <w:pPr>
        <w:snapToGrid w:val="0"/>
        <w:spacing w:line="4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3.2判定原则</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经检验，所检验项目全部符合标准要求，判定为被抽查产品未发现不合格；检验项目中任一项或一项以上不合格，判定为被抽查产品不合格。</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若被检产品明示的质量要求低于或包含</w:t>
      </w:r>
      <w:r>
        <w:rPr>
          <w:rFonts w:hint="eastAsia" w:eastAsia="宋体" w:cs="Times New Roman"/>
          <w:color w:val="000000"/>
          <w:sz w:val="21"/>
          <w:szCs w:val="21"/>
          <w:lang w:eastAsia="zh-CN"/>
        </w:rPr>
        <w:t>本</w:t>
      </w:r>
      <w:r>
        <w:rPr>
          <w:rFonts w:hint="default" w:ascii="Times New Roman" w:hAnsi="Times New Roman" w:cs="Times New Roman"/>
          <w:color w:val="000000"/>
          <w:sz w:val="21"/>
          <w:szCs w:val="21"/>
        </w:rPr>
        <w:t>细则中检验项目依据的推荐性标准要求时，应以被检产品明示的质量要求判定，但应在检验报告备注中进行说明。</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FF0000"/>
          <w:sz w:val="21"/>
          <w:szCs w:val="21"/>
        </w:rPr>
      </w:pPr>
      <w:r>
        <w:rPr>
          <w:rFonts w:hint="default" w:ascii="Times New Roman" w:hAnsi="Times New Roman" w:cs="Times New Roman"/>
          <w:color w:val="000000"/>
          <w:sz w:val="21"/>
          <w:szCs w:val="21"/>
        </w:rPr>
        <w:t>若被检产品明示的质量要求缺少本细则中检验项目依据的推荐性标准要求时，该项目不参与判定，但应在检验报告备注中进行说明。</w:t>
      </w:r>
      <w:bookmarkEnd w:id="0"/>
      <w:bookmarkEnd w:id="1"/>
      <w:bookmarkEnd w:id="2"/>
    </w:p>
    <w:sectPr>
      <w:footnotePr>
        <w:numFmt w:val="decimal"/>
      </w:footnotePr>
      <w:pgSz w:w="11900" w:h="16840"/>
      <w:pgMar w:top="850" w:right="1134" w:bottom="850" w:left="1134" w:header="1255" w:footer="1255"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8077441"/>
    <w:rsid w:val="1C0424C0"/>
    <w:rsid w:val="2CBD5D0C"/>
    <w:rsid w:val="2DFD09D7"/>
    <w:rsid w:val="3DA64E01"/>
    <w:rsid w:val="464B03B8"/>
    <w:rsid w:val="47F059B8"/>
    <w:rsid w:val="4BAA77A9"/>
    <w:rsid w:val="52EE2170"/>
    <w:rsid w:val="59970504"/>
    <w:rsid w:val="5CE4023F"/>
    <w:rsid w:val="602647D9"/>
    <w:rsid w:val="77500140"/>
    <w:rsid w:val="7E4236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2">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Heading #1|1_"/>
    <w:basedOn w:val="2"/>
    <w:link w:val="5"/>
    <w:qFormat/>
    <w:uiPriority w:val="0"/>
    <w:rPr>
      <w:rFonts w:ascii="宋体" w:hAnsi="宋体" w:eastAsia="宋体" w:cs="宋体"/>
      <w:sz w:val="32"/>
      <w:szCs w:val="32"/>
      <w:u w:val="none"/>
      <w:shd w:val="clear" w:color="auto" w:fill="auto"/>
      <w:lang w:val="zh-TW" w:eastAsia="zh-TW" w:bidi="zh-TW"/>
    </w:rPr>
  </w:style>
  <w:style w:type="paragraph" w:customStyle="1" w:styleId="5">
    <w:name w:val="Heading #1|1"/>
    <w:basedOn w:val="1"/>
    <w:link w:val="4"/>
    <w:qFormat/>
    <w:uiPriority w:val="0"/>
    <w:pPr>
      <w:widowControl w:val="0"/>
      <w:shd w:val="clear" w:color="auto" w:fill="auto"/>
      <w:spacing w:before="140" w:after="820"/>
      <w:jc w:val="center"/>
      <w:outlineLvl w:val="0"/>
    </w:pPr>
    <w:rPr>
      <w:rFonts w:ascii="宋体" w:hAnsi="宋体" w:eastAsia="宋体" w:cs="宋体"/>
      <w:sz w:val="32"/>
      <w:szCs w:val="32"/>
      <w:u w:val="none"/>
      <w:shd w:val="clear" w:color="auto" w:fill="auto"/>
      <w:lang w:val="zh-TW" w:eastAsia="zh-TW" w:bidi="zh-TW"/>
    </w:rPr>
  </w:style>
  <w:style w:type="character" w:customStyle="1" w:styleId="6">
    <w:name w:val="Body text|1_"/>
    <w:basedOn w:val="2"/>
    <w:link w:val="7"/>
    <w:qFormat/>
    <w:uiPriority w:val="0"/>
    <w:rPr>
      <w:rFonts w:ascii="宋体" w:hAnsi="宋体" w:eastAsia="宋体" w:cs="宋体"/>
      <w:sz w:val="19"/>
      <w:szCs w:val="19"/>
      <w:u w:val="none"/>
      <w:shd w:val="clear" w:color="auto" w:fill="auto"/>
      <w:lang w:val="zh-TW" w:eastAsia="zh-TW" w:bidi="zh-TW"/>
    </w:rPr>
  </w:style>
  <w:style w:type="paragraph" w:customStyle="1" w:styleId="7">
    <w:name w:val="Body text|1"/>
    <w:basedOn w:val="1"/>
    <w:link w:val="6"/>
    <w:qFormat/>
    <w:uiPriority w:val="0"/>
    <w:pPr>
      <w:widowControl w:val="0"/>
      <w:shd w:val="clear" w:color="auto" w:fill="auto"/>
      <w:spacing w:line="360" w:lineRule="auto"/>
      <w:ind w:firstLine="400"/>
    </w:pPr>
    <w:rPr>
      <w:rFonts w:ascii="宋体" w:hAnsi="宋体" w:eastAsia="宋体" w:cs="宋体"/>
      <w:sz w:val="19"/>
      <w:szCs w:val="19"/>
      <w:u w:val="none"/>
      <w:shd w:val="clear" w:color="auto" w:fill="auto"/>
      <w:lang w:val="zh-TW" w:eastAsia="zh-TW" w:bidi="zh-TW"/>
    </w:rPr>
  </w:style>
  <w:style w:type="character" w:customStyle="1" w:styleId="8">
    <w:name w:val="Table caption|1_"/>
    <w:basedOn w:val="2"/>
    <w:link w:val="9"/>
    <w:qFormat/>
    <w:uiPriority w:val="0"/>
    <w:rPr>
      <w:rFonts w:ascii="宋体" w:hAnsi="宋体" w:eastAsia="宋体" w:cs="宋体"/>
      <w:sz w:val="17"/>
      <w:szCs w:val="17"/>
      <w:u w:val="none"/>
      <w:shd w:val="clear" w:color="auto" w:fill="auto"/>
    </w:rPr>
  </w:style>
  <w:style w:type="paragraph" w:customStyle="1" w:styleId="9">
    <w:name w:val="Table caption|1"/>
    <w:basedOn w:val="1"/>
    <w:link w:val="8"/>
    <w:qFormat/>
    <w:uiPriority w:val="0"/>
    <w:pPr>
      <w:widowControl w:val="0"/>
      <w:shd w:val="clear" w:color="auto" w:fill="auto"/>
    </w:pPr>
    <w:rPr>
      <w:rFonts w:ascii="宋体" w:hAnsi="宋体" w:eastAsia="宋体" w:cs="宋体"/>
      <w:sz w:val="17"/>
      <w:szCs w:val="17"/>
      <w:u w:val="none"/>
      <w:shd w:val="clear" w:color="auto" w:fill="auto"/>
    </w:rPr>
  </w:style>
  <w:style w:type="character" w:customStyle="1" w:styleId="10">
    <w:name w:val="Other|1_"/>
    <w:basedOn w:val="2"/>
    <w:link w:val="11"/>
    <w:qFormat/>
    <w:uiPriority w:val="0"/>
    <w:rPr>
      <w:rFonts w:ascii="宋体" w:hAnsi="宋体" w:eastAsia="宋体" w:cs="宋体"/>
      <w:sz w:val="19"/>
      <w:szCs w:val="19"/>
      <w:u w:val="none"/>
      <w:shd w:val="clear" w:color="auto" w:fill="auto"/>
      <w:lang w:val="zh-TW" w:eastAsia="zh-TW" w:bidi="zh-TW"/>
    </w:rPr>
  </w:style>
  <w:style w:type="paragraph" w:customStyle="1" w:styleId="11">
    <w:name w:val="Other|1"/>
    <w:basedOn w:val="1"/>
    <w:link w:val="10"/>
    <w:qFormat/>
    <w:uiPriority w:val="0"/>
    <w:pPr>
      <w:widowControl w:val="0"/>
      <w:shd w:val="clear" w:color="auto" w:fill="auto"/>
      <w:spacing w:line="360" w:lineRule="auto"/>
      <w:ind w:firstLine="400"/>
    </w:pPr>
    <w:rPr>
      <w:rFonts w:ascii="宋体" w:hAnsi="宋体" w:eastAsia="宋体" w:cs="宋体"/>
      <w:sz w:val="19"/>
      <w:szCs w:val="19"/>
      <w:u w:val="none"/>
      <w:shd w:val="clear" w:color="auto" w:fill="auto"/>
      <w:lang w:val="zh-TW" w:eastAsia="zh-TW" w:bidi="zh-TW"/>
    </w:rPr>
  </w:style>
  <w:style w:type="character" w:customStyle="1" w:styleId="12">
    <w:name w:val="Body text|2_"/>
    <w:basedOn w:val="2"/>
    <w:link w:val="13"/>
    <w:qFormat/>
    <w:uiPriority w:val="0"/>
    <w:rPr>
      <w:rFonts w:ascii="宋体" w:hAnsi="宋体" w:eastAsia="宋体" w:cs="宋体"/>
      <w:sz w:val="16"/>
      <w:szCs w:val="16"/>
      <w:u w:val="none"/>
      <w:shd w:val="clear" w:color="auto" w:fill="auto"/>
      <w:lang w:val="zh-TW" w:eastAsia="zh-TW" w:bidi="zh-TW"/>
    </w:rPr>
  </w:style>
  <w:style w:type="paragraph" w:customStyle="1" w:styleId="13">
    <w:name w:val="Body text|2"/>
    <w:basedOn w:val="1"/>
    <w:link w:val="12"/>
    <w:qFormat/>
    <w:uiPriority w:val="0"/>
    <w:pPr>
      <w:widowControl w:val="0"/>
      <w:shd w:val="clear" w:color="auto" w:fill="auto"/>
    </w:pPr>
    <w:rPr>
      <w:rFonts w:ascii="宋体" w:hAnsi="宋体" w:eastAsia="宋体" w:cs="宋体"/>
      <w:sz w:val="16"/>
      <w:szCs w:val="1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2020-01-08T03:04:00Z</dcterms:created>
  <dc:creator>JS</dc:creator>
  <cp:lastModifiedBy>冯家宝</cp:lastModifiedBy>
  <dcterms:modified xsi:type="dcterms:W3CDTF">2020-01-31T07:30:19Z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