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default" w:ascii="Times New Roman" w:hAnsi="Times New Roman" w:eastAsia="方正小标宋简体" w:cs="Times New Roman"/>
          <w:sz w:val="32"/>
          <w:szCs w:val="32"/>
          <w:highlight w:val="none"/>
        </w:rPr>
      </w:pPr>
      <w:bookmarkStart w:id="0" w:name="_GoBack"/>
      <w:bookmarkEnd w:id="0"/>
      <w:r>
        <w:rPr>
          <w:rFonts w:hint="default" w:ascii="Times New Roman" w:hAnsi="Times New Roman" w:eastAsia="方正小标宋简体" w:cs="Times New Roman"/>
          <w:sz w:val="32"/>
          <w:szCs w:val="32"/>
          <w:highlight w:val="none"/>
        </w:rPr>
        <w:t>广州市</w:t>
      </w:r>
      <w:r>
        <w:rPr>
          <w:rFonts w:hint="eastAsia" w:ascii="Times New Roman" w:hAnsi="Times New Roman" w:eastAsia="方正小标宋简体" w:cs="Times New Roman"/>
          <w:sz w:val="32"/>
          <w:szCs w:val="32"/>
          <w:highlight w:val="none"/>
          <w:lang w:eastAsia="zh-CN"/>
        </w:rPr>
        <w:t>市场监督管理局</w:t>
      </w:r>
      <w:r>
        <w:rPr>
          <w:rFonts w:hint="default" w:ascii="Times New Roman" w:hAnsi="Times New Roman" w:eastAsia="方正小标宋简体" w:cs="Times New Roman"/>
          <w:sz w:val="32"/>
          <w:szCs w:val="32"/>
          <w:highlight w:val="none"/>
        </w:rPr>
        <w:t>混凝土外加剂产品质量监督抽查实施细则</w:t>
      </w:r>
    </w:p>
    <w:p>
      <w:pPr>
        <w:adjustRightInd w:val="0"/>
        <w:snapToGrid w:val="0"/>
        <w:spacing w:line="360" w:lineRule="auto"/>
        <w:rPr>
          <w:rFonts w:hint="default" w:ascii="Times New Roman" w:hAnsi="Times New Roman" w:eastAsia="黑体" w:cs="Times New Roman"/>
          <w:color w:val="000000"/>
          <w:szCs w:val="21"/>
          <w:highlight w:val="none"/>
        </w:rPr>
      </w:pPr>
    </w:p>
    <w:p>
      <w:pPr>
        <w:adjustRightInd w:val="0"/>
        <w:snapToGrid w:val="0"/>
        <w:spacing w:line="360" w:lineRule="auto"/>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1 抽样方法</w:t>
      </w:r>
    </w:p>
    <w:p>
      <w:pPr>
        <w:adjustRightInd w:val="0"/>
        <w:snapToGrid w:val="0"/>
        <w:spacing w:line="360" w:lineRule="auto"/>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在企业的待销产品中随机抽取有产品质量检验合格证明或者以其他形式表明合格的、近期生产的产品。</w:t>
      </w:r>
    </w:p>
    <w:p>
      <w:pPr>
        <w:adjustRightInd w:val="0"/>
        <w:snapToGrid w:val="0"/>
        <w:spacing w:line="360" w:lineRule="auto"/>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抽查样品基数满足抽样数量即可。</w:t>
      </w:r>
    </w:p>
    <w:p>
      <w:pPr>
        <w:adjustRightInd w:val="0"/>
        <w:snapToGrid w:val="0"/>
        <w:spacing w:line="360" w:lineRule="auto"/>
        <w:ind w:firstLine="420"/>
        <w:rPr>
          <w:rFonts w:hint="default" w:ascii="Times New Roman" w:hAnsi="Times New Roman" w:cs="Times New Roman"/>
          <w:szCs w:val="21"/>
          <w:highlight w:val="none"/>
        </w:rPr>
      </w:pPr>
      <w:r>
        <w:rPr>
          <w:rFonts w:hint="default" w:ascii="Times New Roman" w:hAnsi="Times New Roman" w:cs="Times New Roman"/>
          <w:highlight w:val="none"/>
        </w:rPr>
        <w:t>每批次样品抽取2kg，其中1kg为检验样品，1kg为备用样品，取样前应充分混匀</w:t>
      </w:r>
      <w:r>
        <w:rPr>
          <w:rFonts w:hint="default" w:ascii="Times New Roman" w:hAnsi="Times New Roman" w:cs="Times New Roman"/>
          <w:szCs w:val="21"/>
          <w:highlight w:val="none"/>
        </w:rPr>
        <w:t>。</w:t>
      </w:r>
    </w:p>
    <w:p>
      <w:pPr>
        <w:adjustRightInd w:val="0"/>
        <w:snapToGrid w:val="0"/>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随机数一般可使用随机数表、随机数骰子或扑克牌等方法产生。</w:t>
      </w:r>
    </w:p>
    <w:p>
      <w:pPr>
        <w:adjustRightInd w:val="0"/>
        <w:snapToGrid w:val="0"/>
        <w:spacing w:line="360" w:lineRule="auto"/>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抽样人员应确认样品的执行标准和氯离子含量、含固量、pH值项目的生产厂控制值。</w:t>
      </w:r>
    </w:p>
    <w:p>
      <w:pPr>
        <w:adjustRightInd w:val="0"/>
        <w:snapToGrid w:val="0"/>
        <w:spacing w:line="360" w:lineRule="auto"/>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2 检验依据</w:t>
      </w:r>
    </w:p>
    <w:p>
      <w:pPr>
        <w:adjustRightInd w:val="0"/>
        <w:snapToGrid w:val="0"/>
        <w:spacing w:line="360" w:lineRule="auto"/>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本次抽查检验项目和检验方法依据见表1。</w:t>
      </w:r>
    </w:p>
    <w:p>
      <w:pPr>
        <w:adjustRightInd w:val="0"/>
        <w:snapToGrid w:val="0"/>
        <w:spacing w:line="360" w:lineRule="auto"/>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表1检验项目</w:t>
      </w:r>
    </w:p>
    <w:tbl>
      <w:tblPr>
        <w:tblStyle w:val="6"/>
        <w:tblW w:w="9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92"/>
        <w:gridCol w:w="2470"/>
        <w:gridCol w:w="2186"/>
        <w:gridCol w:w="109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jc w:val="center"/>
        </w:trPr>
        <w:tc>
          <w:tcPr>
            <w:tcW w:w="8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序号</w:t>
            </w:r>
          </w:p>
        </w:tc>
        <w:tc>
          <w:tcPr>
            <w:tcW w:w="16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检验项目</w:t>
            </w:r>
          </w:p>
        </w:tc>
        <w:tc>
          <w:tcPr>
            <w:tcW w:w="247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18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检验方法</w:t>
            </w:r>
          </w:p>
        </w:tc>
        <w:tc>
          <w:tcPr>
            <w:tcW w:w="20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p>
        </w:tc>
        <w:tc>
          <w:tcPr>
            <w:tcW w:w="16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p>
        </w:tc>
        <w:tc>
          <w:tcPr>
            <w:tcW w:w="24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p>
        </w:tc>
        <w:tc>
          <w:tcPr>
            <w:tcW w:w="218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A类</w:t>
            </w:r>
            <w:r>
              <w:rPr>
                <w:rFonts w:hint="default" w:ascii="Times New Roman" w:hAnsi="Times New Roman" w:cs="Times New Roman"/>
                <w:color w:val="000000"/>
                <w:szCs w:val="21"/>
                <w:highlight w:val="none"/>
                <w:vertAlign w:val="superscript"/>
              </w:rPr>
              <w:t>a</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B类</w:t>
            </w:r>
            <w:r>
              <w:rPr>
                <w:rFonts w:hint="default" w:ascii="Times New Roman" w:hAnsi="Times New Roman" w:cs="Times New Roman"/>
                <w:color w:val="000000"/>
                <w:szCs w:val="21"/>
                <w:highlight w:val="none"/>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1</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释放氨</w:t>
            </w:r>
          </w:p>
        </w:tc>
        <w:tc>
          <w:tcPr>
            <w:tcW w:w="2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GB 18588-2001</w:t>
            </w:r>
          </w:p>
        </w:tc>
        <w:tc>
          <w:tcPr>
            <w:tcW w:w="21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GB 18588-2001</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2</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残留甲醛</w:t>
            </w:r>
          </w:p>
        </w:tc>
        <w:tc>
          <w:tcPr>
            <w:tcW w:w="2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GB 31040-2014</w:t>
            </w:r>
          </w:p>
        </w:tc>
        <w:tc>
          <w:tcPr>
            <w:tcW w:w="21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GB 31040-2014</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3</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氯离子含量</w:t>
            </w:r>
            <w:r>
              <w:rPr>
                <w:rFonts w:hint="default" w:ascii="Times New Roman" w:hAnsi="Times New Roman" w:cs="Times New Roman"/>
                <w:color w:val="000000"/>
                <w:szCs w:val="21"/>
                <w:highlight w:val="none"/>
                <w:vertAlign w:val="superscript"/>
              </w:rPr>
              <w:t>c</w:t>
            </w:r>
          </w:p>
        </w:tc>
        <w:tc>
          <w:tcPr>
            <w:tcW w:w="247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GB 8076-2008</w:t>
            </w:r>
          </w:p>
        </w:tc>
        <w:tc>
          <w:tcPr>
            <w:tcW w:w="21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GB 8076-2008</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4</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含固量</w:t>
            </w:r>
            <w:r>
              <w:rPr>
                <w:rFonts w:hint="default" w:ascii="Times New Roman" w:hAnsi="Times New Roman" w:cs="Times New Roman"/>
                <w:color w:val="000000"/>
                <w:szCs w:val="21"/>
                <w:highlight w:val="none"/>
                <w:vertAlign w:val="superscript"/>
              </w:rPr>
              <w:t>c</w:t>
            </w:r>
          </w:p>
        </w:tc>
        <w:tc>
          <w:tcPr>
            <w:tcW w:w="24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p>
        </w:tc>
        <w:tc>
          <w:tcPr>
            <w:tcW w:w="21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GB/T 8077-2012</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5</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pH值</w:t>
            </w:r>
            <w:r>
              <w:rPr>
                <w:rFonts w:hint="default" w:ascii="Times New Roman" w:hAnsi="Times New Roman" w:cs="Times New Roman"/>
                <w:color w:val="000000"/>
                <w:szCs w:val="21"/>
                <w:highlight w:val="none"/>
                <w:vertAlign w:val="superscript"/>
              </w:rPr>
              <w:t>c</w:t>
            </w:r>
          </w:p>
        </w:tc>
        <w:tc>
          <w:tcPr>
            <w:tcW w:w="24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p>
        </w:tc>
        <w:tc>
          <w:tcPr>
            <w:tcW w:w="21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GB/T 8077-2012</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7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a极重要质量项目。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b重要质量项目。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z w:val="18"/>
                <w:szCs w:val="18"/>
                <w:highlight w:val="none"/>
              </w:rPr>
              <w:t>c其中氯离子含量、含固量、pH值需受检单位提供生产厂控制值。</w:t>
            </w:r>
          </w:p>
        </w:tc>
      </w:tr>
    </w:tbl>
    <w:p>
      <w:pPr>
        <w:adjustRightInd w:val="0"/>
        <w:snapToGrid w:val="0"/>
        <w:spacing w:line="360" w:lineRule="auto"/>
        <w:ind w:firstLine="420" w:firstLineChars="200"/>
        <w:rPr>
          <w:rFonts w:hint="default" w:ascii="Times New Roman" w:hAnsi="Times New Roman" w:cs="Times New Roman"/>
          <w:color w:val="000000"/>
          <w:szCs w:val="21"/>
          <w:highlight w:val="none"/>
        </w:rPr>
      </w:pPr>
    </w:p>
    <w:p>
      <w:pPr>
        <w:adjustRightInd w:val="0"/>
        <w:snapToGrid w:val="0"/>
        <w:spacing w:line="360" w:lineRule="auto"/>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凡是注日期的文件，其随后所有的修改单（不包括勘误的内容）或修订版不适用于本细则。凡是不注日期的文件，其最新版本适用于本细则。</w:t>
      </w:r>
    </w:p>
    <w:p>
      <w:pPr>
        <w:adjustRightInd w:val="0"/>
        <w:snapToGrid w:val="0"/>
        <w:spacing w:line="360" w:lineRule="auto"/>
        <w:ind w:firstLine="359" w:firstLineChars="171"/>
        <w:rPr>
          <w:rFonts w:hint="default" w:ascii="Times New Roman" w:hAnsi="Times New Roman" w:cs="Times New Roman"/>
          <w:color w:val="000000"/>
          <w:szCs w:val="21"/>
          <w:highlight w:val="none"/>
        </w:rPr>
      </w:pPr>
    </w:p>
    <w:p>
      <w:pPr>
        <w:adjustRightInd w:val="0"/>
        <w:snapToGrid w:val="0"/>
        <w:spacing w:line="360" w:lineRule="auto"/>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3 判定规则</w:t>
      </w:r>
    </w:p>
    <w:p>
      <w:pPr>
        <w:adjustRightInd w:val="0"/>
        <w:snapToGrid w:val="0"/>
        <w:spacing w:line="360" w:lineRule="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3.1依据标准</w:t>
      </w:r>
    </w:p>
    <w:p>
      <w:pPr>
        <w:adjustRightInd w:val="0"/>
        <w:snapToGrid w:val="0"/>
        <w:spacing w:line="360" w:lineRule="auto"/>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GB 8076-2008《混凝土外加剂》</w:t>
      </w:r>
    </w:p>
    <w:p>
      <w:pPr>
        <w:adjustRightInd w:val="0"/>
        <w:snapToGrid w:val="0"/>
        <w:spacing w:line="360" w:lineRule="auto"/>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GB 18588-2001《混凝土外加剂中释放氨的限量》</w:t>
      </w:r>
    </w:p>
    <w:p>
      <w:pPr>
        <w:adjustRightInd w:val="0"/>
        <w:snapToGrid w:val="0"/>
        <w:spacing w:line="360" w:lineRule="auto"/>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GB 31040-2014《混凝土外加剂中残留甲醛的限量》</w:t>
      </w:r>
    </w:p>
    <w:p>
      <w:pPr>
        <w:adjustRightInd w:val="0"/>
        <w:snapToGrid w:val="0"/>
        <w:spacing w:line="360" w:lineRule="auto"/>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相关的法律、行政法规、部门规章、规范性文件</w:t>
      </w:r>
    </w:p>
    <w:p>
      <w:pPr>
        <w:adjustRightInd w:val="0"/>
        <w:snapToGrid w:val="0"/>
        <w:spacing w:line="360" w:lineRule="auto"/>
        <w:ind w:firstLine="464" w:firstLineChars="221"/>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现行有效的企业标准、团体标准、地方标准及产品明示质量要求</w:t>
      </w:r>
    </w:p>
    <w:p>
      <w:pPr>
        <w:adjustRightInd w:val="0"/>
        <w:snapToGrid w:val="0"/>
        <w:spacing w:line="360" w:lineRule="auto"/>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3.2判定原则</w:t>
      </w:r>
    </w:p>
    <w:p>
      <w:pPr>
        <w:adjustRightInd w:val="0"/>
        <w:snapToGrid w:val="0"/>
        <w:spacing w:line="360" w:lineRule="auto"/>
        <w:ind w:firstLine="417" w:firstLineChars="199"/>
        <w:rPr>
          <w:rFonts w:hint="default" w:ascii="Times New Roman" w:hAnsi="Times New Roman" w:cs="Times New Roman"/>
          <w:color w:val="000000"/>
          <w:szCs w:val="21"/>
          <w:highlight w:val="none"/>
        </w:rPr>
      </w:pPr>
      <w:r>
        <w:rPr>
          <w:rFonts w:hint="default" w:ascii="Times New Roman" w:hAnsi="Times New Roman" w:cs="Times New Roman"/>
          <w:color w:val="000000"/>
          <w:szCs w:val="21"/>
        </w:rPr>
        <w:t>经检验，</w:t>
      </w:r>
      <w:r>
        <w:rPr>
          <w:rFonts w:hint="eastAsia" w:ascii="Times New Roman" w:hAnsi="Times New Roman" w:cs="Times New Roman"/>
          <w:color w:val="000000"/>
          <w:szCs w:val="21"/>
          <w:lang w:eastAsia="zh-CN"/>
        </w:rPr>
        <w:t>所</w:t>
      </w:r>
      <w:r>
        <w:rPr>
          <w:rFonts w:hint="default" w:ascii="Times New Roman" w:hAnsi="Times New Roman" w:cs="Times New Roman"/>
          <w:color w:val="000000"/>
          <w:szCs w:val="21"/>
        </w:rPr>
        <w:t>检验项目全部</w:t>
      </w:r>
      <w:r>
        <w:rPr>
          <w:rFonts w:hint="eastAsia" w:ascii="Times New Roman" w:hAnsi="Times New Roman" w:cs="Times New Roman"/>
          <w:color w:val="000000"/>
          <w:szCs w:val="21"/>
          <w:lang w:eastAsia="zh-CN"/>
        </w:rPr>
        <w:t>符合标准要求</w:t>
      </w:r>
      <w:r>
        <w:rPr>
          <w:rFonts w:hint="default" w:ascii="Times New Roman" w:hAnsi="Times New Roman" w:cs="Times New Roman"/>
          <w:color w:val="000000"/>
          <w:szCs w:val="21"/>
        </w:rPr>
        <w:t>，判定为被抽查产品</w:t>
      </w:r>
      <w:r>
        <w:rPr>
          <w:rFonts w:hint="eastAsia" w:ascii="Times New Roman" w:hAnsi="Times New Roman" w:cs="Times New Roman"/>
          <w:color w:val="000000"/>
          <w:szCs w:val="21"/>
          <w:lang w:eastAsia="zh-CN"/>
        </w:rPr>
        <w:t>未发现不</w:t>
      </w:r>
      <w:r>
        <w:rPr>
          <w:rFonts w:hint="default" w:ascii="Times New Roman" w:hAnsi="Times New Roman" w:cs="Times New Roman"/>
          <w:color w:val="000000"/>
          <w:szCs w:val="21"/>
        </w:rPr>
        <w:t>合格</w:t>
      </w:r>
      <w:r>
        <w:rPr>
          <w:rFonts w:hint="default" w:ascii="Times New Roman" w:hAnsi="Times New Roman" w:cs="Times New Roman"/>
          <w:color w:val="000000"/>
          <w:szCs w:val="21"/>
          <w:highlight w:val="none"/>
        </w:rPr>
        <w:t>；检验项目中任一项或一项以上不合格，判定为被抽查产品不合格。当产品存在A类项目不合格时，属于严重不合格。</w:t>
      </w:r>
    </w:p>
    <w:p>
      <w:pPr>
        <w:adjustRightInd w:val="0"/>
        <w:snapToGrid w:val="0"/>
        <w:spacing w:line="360" w:lineRule="auto"/>
        <w:ind w:firstLine="417" w:firstLineChars="199"/>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若被检产品明示的质量要求高于本细则中检验项目依据的标准要求时，应按被检产品明示的质量要求判定。</w:t>
      </w:r>
    </w:p>
    <w:p>
      <w:pPr>
        <w:adjustRightInd w:val="0"/>
        <w:snapToGrid w:val="0"/>
        <w:spacing w:line="360" w:lineRule="auto"/>
        <w:ind w:firstLine="417" w:firstLineChars="199"/>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若被检产品明示的质量要求低于本细则中检验项目依据的强制性标准要求时，应按照强制性标准要求判定。</w:t>
      </w:r>
    </w:p>
    <w:p>
      <w:pPr>
        <w:adjustRightInd w:val="0"/>
        <w:snapToGrid w:val="0"/>
        <w:spacing w:line="360" w:lineRule="auto"/>
        <w:ind w:firstLine="417" w:firstLineChars="199"/>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若被检产品明示的质量要求低于或包含</w:t>
      </w:r>
      <w:r>
        <w:rPr>
          <w:rFonts w:hint="eastAsia" w:ascii="Times New Roman" w:hAnsi="Times New Roman" w:cs="Times New Roman"/>
          <w:color w:val="000000"/>
          <w:szCs w:val="21"/>
          <w:highlight w:val="none"/>
          <w:lang w:eastAsia="zh-CN"/>
        </w:rPr>
        <w:t>本</w:t>
      </w:r>
      <w:r>
        <w:rPr>
          <w:rFonts w:hint="default" w:ascii="Times New Roman" w:hAnsi="Times New Roman" w:cs="Times New Roman"/>
          <w:color w:val="000000"/>
          <w:szCs w:val="21"/>
          <w:highlight w:val="none"/>
        </w:rPr>
        <w:t>细则中检验项目依据的推荐性标准要求时，应以被检产品明示的质量要求判定，但应在检验报告备注中进行说明。</w:t>
      </w:r>
    </w:p>
    <w:p>
      <w:pPr>
        <w:adjustRightInd w:val="0"/>
        <w:snapToGrid w:val="0"/>
        <w:spacing w:line="360" w:lineRule="auto"/>
        <w:ind w:firstLine="417" w:firstLineChars="199"/>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若被检产品明示的质量要求缺少本细则中检验项目依据的强制性标准要求时，应按照强制性标准要求判定。</w:t>
      </w:r>
    </w:p>
    <w:p>
      <w:pPr>
        <w:adjustRightInd w:val="0"/>
        <w:snapToGrid w:val="0"/>
        <w:spacing w:line="360" w:lineRule="auto"/>
        <w:ind w:firstLine="417" w:firstLineChars="199"/>
        <w:rPr>
          <w:rFonts w:hint="default" w:ascii="Times New Roman" w:hAnsi="Times New Roman" w:cs="Times New Roman"/>
          <w:color w:val="FF0000"/>
          <w:szCs w:val="21"/>
          <w:highlight w:val="none"/>
        </w:rPr>
      </w:pPr>
      <w:r>
        <w:rPr>
          <w:rFonts w:hint="default" w:ascii="Times New Roman" w:hAnsi="Times New Roman" w:cs="Times New Roman"/>
          <w:color w:val="000000"/>
          <w:szCs w:val="21"/>
          <w:highlight w:val="none"/>
        </w:rPr>
        <w:t>若被检产品明示的质量要求缺少本细则中检验项目依据的推荐性标准要求时，该项目不参与判定，但应在检验报告备注中进行说明。</w:t>
      </w:r>
    </w:p>
    <w:p>
      <w:pPr>
        <w:adjustRightInd w:val="0"/>
        <w:snapToGrid w:val="0"/>
        <w:spacing w:line="360" w:lineRule="auto"/>
        <w:ind w:firstLine="420"/>
        <w:rPr>
          <w:rFonts w:hint="default" w:ascii="Times New Roman" w:hAnsi="Times New Roman" w:cs="Times New Roman"/>
          <w:szCs w:val="21"/>
          <w:highlight w:val="none"/>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F8"/>
    <w:rsid w:val="001B4108"/>
    <w:rsid w:val="009A2529"/>
    <w:rsid w:val="00F67EF8"/>
    <w:rsid w:val="05987AEE"/>
    <w:rsid w:val="07EF2E4A"/>
    <w:rsid w:val="0B064F63"/>
    <w:rsid w:val="0B1C143D"/>
    <w:rsid w:val="0D133350"/>
    <w:rsid w:val="0E2F4FCF"/>
    <w:rsid w:val="0E980037"/>
    <w:rsid w:val="0F0871D4"/>
    <w:rsid w:val="0FF7089C"/>
    <w:rsid w:val="13215469"/>
    <w:rsid w:val="15B77151"/>
    <w:rsid w:val="167C2F5C"/>
    <w:rsid w:val="19167A4D"/>
    <w:rsid w:val="1B0E2A20"/>
    <w:rsid w:val="20A20AB3"/>
    <w:rsid w:val="242A7B22"/>
    <w:rsid w:val="296E2F2F"/>
    <w:rsid w:val="298E6F00"/>
    <w:rsid w:val="2B6B37E4"/>
    <w:rsid w:val="2BEA1BDC"/>
    <w:rsid w:val="339D682A"/>
    <w:rsid w:val="3C6A52EA"/>
    <w:rsid w:val="3CD06E9A"/>
    <w:rsid w:val="3F2767D2"/>
    <w:rsid w:val="40C37EE8"/>
    <w:rsid w:val="4210203D"/>
    <w:rsid w:val="42C86BE5"/>
    <w:rsid w:val="43DE7990"/>
    <w:rsid w:val="454C3FF9"/>
    <w:rsid w:val="46B64E3A"/>
    <w:rsid w:val="4A7B48E2"/>
    <w:rsid w:val="4AAA1E41"/>
    <w:rsid w:val="52303C0D"/>
    <w:rsid w:val="5C9714F8"/>
    <w:rsid w:val="5F235D36"/>
    <w:rsid w:val="603F760F"/>
    <w:rsid w:val="62A26725"/>
    <w:rsid w:val="64EB32D0"/>
    <w:rsid w:val="6527509E"/>
    <w:rsid w:val="65A65894"/>
    <w:rsid w:val="6AB521EA"/>
    <w:rsid w:val="6B2C68EC"/>
    <w:rsid w:val="6E1B2384"/>
    <w:rsid w:val="70C73DA2"/>
    <w:rsid w:val="72D26A15"/>
    <w:rsid w:val="77675224"/>
    <w:rsid w:val="7C4679DF"/>
    <w:rsid w:val="7D4E0A6B"/>
    <w:rsid w:val="7E683449"/>
    <w:rsid w:val="7ED52478"/>
    <w:rsid w:val="7F095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159</Words>
  <Characters>910</Characters>
  <Lines>7</Lines>
  <Paragraphs>2</Paragraphs>
  <TotalTime>0</TotalTime>
  <ScaleCrop>false</ScaleCrop>
  <LinksUpToDate>false</LinksUpToDate>
  <CharactersWithSpaces>1067</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2020-01-08T02:30:00Z</dcterms:created>
  <dc:creator>JS</dc:creator>
  <cp:lastModifiedBy>冯家宝</cp:lastModifiedBy>
  <dcterms:modified xsi:type="dcterms:W3CDTF">2020-01-31T07:32:25Z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