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18192" w14:textId="77777777" w:rsidR="007F1BDF" w:rsidRDefault="007F1BDF" w:rsidP="007F1BDF">
      <w:pPr>
        <w:pStyle w:val="1"/>
        <w:numPr>
          <w:ilvl w:val="0"/>
          <w:numId w:val="0"/>
        </w:numPr>
        <w:spacing w:before="312" w:after="156" w:line="240" w:lineRule="auto"/>
        <w:ind w:left="900" w:hanging="900"/>
        <w:jc w:val="left"/>
        <w:rPr>
          <w:rFonts w:ascii="仿宋_GB2312" w:eastAsia="仿宋_GB2312"/>
          <w:b w:val="0"/>
          <w:sz w:val="32"/>
          <w:szCs w:val="32"/>
        </w:rPr>
      </w:pPr>
      <w:r>
        <w:rPr>
          <w:rFonts w:ascii="仿宋_GB2312" w:eastAsia="仿宋_GB2312" w:hint="eastAsia"/>
          <w:b w:val="0"/>
          <w:sz w:val="32"/>
          <w:szCs w:val="32"/>
        </w:rPr>
        <w:t>附件5</w:t>
      </w:r>
    </w:p>
    <w:p w14:paraId="60348F1C" w14:textId="77777777" w:rsidR="007F1BDF" w:rsidRDefault="007F1BDF" w:rsidP="007F1BDF">
      <w:pPr>
        <w:jc w:val="center"/>
        <w:rPr>
          <w:rFonts w:ascii="方正小标宋简体" w:eastAsia="方正小标宋简体" w:hint="eastAsia"/>
          <w:sz w:val="44"/>
          <w:szCs w:val="44"/>
        </w:rPr>
      </w:pPr>
      <w:r>
        <w:rPr>
          <w:rFonts w:ascii="方正小标宋简体" w:eastAsia="方正小标宋简体" w:hint="eastAsia"/>
          <w:sz w:val="44"/>
          <w:szCs w:val="44"/>
        </w:rPr>
        <w:t>广州市2020年集体建设用地基准地价</w:t>
      </w:r>
    </w:p>
    <w:p w14:paraId="5B63138A" w14:textId="77777777" w:rsidR="007F1BDF" w:rsidRDefault="007F1BDF" w:rsidP="007F1BDF">
      <w:pPr>
        <w:jc w:val="center"/>
        <w:rPr>
          <w:rFonts w:ascii="方正小标宋简体" w:eastAsia="方正小标宋简体" w:hint="eastAsia"/>
          <w:sz w:val="44"/>
          <w:szCs w:val="44"/>
        </w:rPr>
      </w:pPr>
      <w:r>
        <w:rPr>
          <w:rFonts w:ascii="方正小标宋简体" w:eastAsia="方正小标宋简体" w:hint="eastAsia"/>
          <w:sz w:val="44"/>
          <w:szCs w:val="44"/>
        </w:rPr>
        <w:t>的基本内容</w:t>
      </w:r>
    </w:p>
    <w:p w14:paraId="02F18455" w14:textId="77777777" w:rsidR="007F1BDF" w:rsidRDefault="007F1BDF" w:rsidP="007F1BDF">
      <w:pPr>
        <w:ind w:firstLineChars="200" w:firstLine="640"/>
        <w:rPr>
          <w:rFonts w:ascii="仿宋_GB2312" w:hint="eastAsia"/>
        </w:rPr>
      </w:pPr>
      <w:r>
        <w:rPr>
          <w:rFonts w:ascii="仿宋_GB2312" w:hint="eastAsia"/>
        </w:rPr>
        <w:t>一、本次公布的集体建设用地基准地价包括广州市越秀区、</w:t>
      </w:r>
      <w:proofErr w:type="gramStart"/>
      <w:r>
        <w:rPr>
          <w:rFonts w:ascii="仿宋_GB2312" w:hint="eastAsia"/>
        </w:rPr>
        <w:t>荔</w:t>
      </w:r>
      <w:proofErr w:type="gramEnd"/>
      <w:r>
        <w:rPr>
          <w:rFonts w:ascii="仿宋_GB2312" w:hint="eastAsia"/>
        </w:rPr>
        <w:t>湾区、海珠区、天河区、白云区、黄埔区、花都区、番禺区、南沙区、从化区和增城区所辖范围。</w:t>
      </w:r>
    </w:p>
    <w:p w14:paraId="066E5346" w14:textId="77777777" w:rsidR="007F1BDF" w:rsidRDefault="007F1BDF" w:rsidP="007F1BDF">
      <w:pPr>
        <w:ind w:firstLineChars="200" w:firstLine="640"/>
        <w:rPr>
          <w:rFonts w:ascii="仿宋_GB2312" w:hint="eastAsia"/>
        </w:rPr>
      </w:pPr>
      <w:r>
        <w:rPr>
          <w:rFonts w:ascii="仿宋_GB2312" w:hint="eastAsia"/>
        </w:rPr>
        <w:t>二、本次集体建设用地基准地价为在平稳正常情况、公开竞争市场或特定市场条件下，对符合规划用途或现状合法用途、“五通一平”的土地开发程度和设定容积率下于估价期日2020年1月1日的区域平均价格。土地使用年限集体商服用地为40年、集体住宅用地（宅基地为</w:t>
      </w:r>
      <w:r>
        <w:rPr>
          <w:rFonts w:hint="eastAsia"/>
          <w:kern w:val="0"/>
          <w:szCs w:val="21"/>
        </w:rPr>
        <w:t>无年期限制、集体租赁住房用地为</w:t>
      </w:r>
      <w:r>
        <w:rPr>
          <w:kern w:val="0"/>
          <w:szCs w:val="21"/>
        </w:rPr>
        <w:t>70</w:t>
      </w:r>
      <w:r>
        <w:rPr>
          <w:rFonts w:hint="eastAsia"/>
          <w:kern w:val="0"/>
          <w:szCs w:val="21"/>
        </w:rPr>
        <w:t>年</w:t>
      </w:r>
      <w:r>
        <w:rPr>
          <w:rFonts w:ascii="仿宋_GB2312" w:hint="eastAsia"/>
        </w:rPr>
        <w:t>）、集体工业用地为50年。价格单位为元/平方米，币种为人民币。其中各用地类型基准地价的内涵如下：</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1"/>
        <w:gridCol w:w="1647"/>
        <w:gridCol w:w="1781"/>
        <w:gridCol w:w="1648"/>
        <w:gridCol w:w="1833"/>
        <w:gridCol w:w="465"/>
      </w:tblGrid>
      <w:tr w:rsidR="007F1BDF" w14:paraId="33C85719" w14:textId="77777777" w:rsidTr="007F1BDF">
        <w:trPr>
          <w:gridAfter w:val="1"/>
          <w:wAfter w:w="480" w:type="dxa"/>
          <w:trHeight w:val="369"/>
          <w:jc w:val="center"/>
        </w:trPr>
        <w:tc>
          <w:tcPr>
            <w:tcW w:w="1414" w:type="dxa"/>
            <w:vMerge w:val="restart"/>
            <w:tcBorders>
              <w:top w:val="single" w:sz="4" w:space="0" w:color="auto"/>
              <w:left w:val="single" w:sz="4" w:space="0" w:color="auto"/>
              <w:bottom w:val="single" w:sz="4" w:space="0" w:color="auto"/>
              <w:right w:val="single" w:sz="4" w:space="0" w:color="auto"/>
            </w:tcBorders>
            <w:vAlign w:val="center"/>
            <w:hideMark/>
          </w:tcPr>
          <w:p w14:paraId="517D6638" w14:textId="77777777" w:rsidR="007F1BDF" w:rsidRDefault="007F1BDF">
            <w:pPr>
              <w:widowControl/>
              <w:jc w:val="center"/>
              <w:rPr>
                <w:rFonts w:hint="eastAsia"/>
                <w:b/>
                <w:bCs/>
                <w:color w:val="000000"/>
                <w:kern w:val="0"/>
                <w:sz w:val="21"/>
                <w:szCs w:val="21"/>
              </w:rPr>
            </w:pPr>
            <w:r>
              <w:rPr>
                <w:rFonts w:hint="eastAsia"/>
                <w:b/>
                <w:bCs/>
                <w:color w:val="000000"/>
                <w:kern w:val="0"/>
                <w:sz w:val="21"/>
                <w:szCs w:val="21"/>
              </w:rPr>
              <w:t>用途</w:t>
            </w:r>
          </w:p>
        </w:tc>
        <w:tc>
          <w:tcPr>
            <w:tcW w:w="1741" w:type="dxa"/>
            <w:vMerge w:val="restart"/>
            <w:tcBorders>
              <w:top w:val="single" w:sz="4" w:space="0" w:color="auto"/>
              <w:left w:val="single" w:sz="4" w:space="0" w:color="auto"/>
              <w:bottom w:val="single" w:sz="4" w:space="0" w:color="auto"/>
              <w:right w:val="single" w:sz="4" w:space="0" w:color="auto"/>
            </w:tcBorders>
            <w:vAlign w:val="center"/>
            <w:hideMark/>
          </w:tcPr>
          <w:p w14:paraId="52C74F3F" w14:textId="77777777" w:rsidR="007F1BDF" w:rsidRDefault="007F1BDF">
            <w:pPr>
              <w:widowControl/>
              <w:jc w:val="center"/>
              <w:rPr>
                <w:b/>
                <w:bCs/>
                <w:color w:val="000000"/>
                <w:kern w:val="0"/>
                <w:sz w:val="21"/>
                <w:szCs w:val="21"/>
              </w:rPr>
            </w:pPr>
            <w:r>
              <w:rPr>
                <w:rFonts w:hint="eastAsia"/>
                <w:b/>
                <w:bCs/>
                <w:color w:val="000000"/>
                <w:kern w:val="0"/>
                <w:sz w:val="21"/>
                <w:szCs w:val="21"/>
              </w:rPr>
              <w:t>集体商服用地</w:t>
            </w:r>
          </w:p>
        </w:tc>
        <w:tc>
          <w:tcPr>
            <w:tcW w:w="3626" w:type="dxa"/>
            <w:gridSpan w:val="2"/>
            <w:tcBorders>
              <w:top w:val="single" w:sz="4" w:space="0" w:color="auto"/>
              <w:left w:val="single" w:sz="4" w:space="0" w:color="auto"/>
              <w:bottom w:val="single" w:sz="4" w:space="0" w:color="auto"/>
              <w:right w:val="single" w:sz="4" w:space="0" w:color="auto"/>
            </w:tcBorders>
            <w:vAlign w:val="center"/>
            <w:hideMark/>
          </w:tcPr>
          <w:p w14:paraId="4337F76F" w14:textId="77777777" w:rsidR="007F1BDF" w:rsidRDefault="007F1BDF">
            <w:pPr>
              <w:widowControl/>
              <w:jc w:val="center"/>
              <w:rPr>
                <w:b/>
                <w:bCs/>
                <w:color w:val="000000"/>
                <w:kern w:val="0"/>
                <w:sz w:val="21"/>
                <w:szCs w:val="21"/>
              </w:rPr>
            </w:pPr>
            <w:r>
              <w:rPr>
                <w:rFonts w:hint="eastAsia"/>
                <w:b/>
                <w:bCs/>
                <w:color w:val="000000"/>
                <w:kern w:val="0"/>
                <w:sz w:val="21"/>
                <w:szCs w:val="21"/>
              </w:rPr>
              <w:t>集体住宅用地</w:t>
            </w:r>
          </w:p>
        </w:tc>
        <w:tc>
          <w:tcPr>
            <w:tcW w:w="1939" w:type="dxa"/>
            <w:vMerge w:val="restart"/>
            <w:tcBorders>
              <w:top w:val="single" w:sz="4" w:space="0" w:color="auto"/>
              <w:left w:val="single" w:sz="4" w:space="0" w:color="auto"/>
              <w:bottom w:val="single" w:sz="4" w:space="0" w:color="auto"/>
              <w:right w:val="single" w:sz="4" w:space="0" w:color="auto"/>
            </w:tcBorders>
            <w:vAlign w:val="center"/>
            <w:hideMark/>
          </w:tcPr>
          <w:p w14:paraId="551C251B" w14:textId="77777777" w:rsidR="007F1BDF" w:rsidRDefault="007F1BDF">
            <w:pPr>
              <w:widowControl/>
              <w:jc w:val="center"/>
              <w:rPr>
                <w:b/>
                <w:bCs/>
                <w:color w:val="000000"/>
                <w:kern w:val="0"/>
                <w:sz w:val="21"/>
                <w:szCs w:val="21"/>
              </w:rPr>
            </w:pPr>
            <w:r>
              <w:rPr>
                <w:rFonts w:hint="eastAsia"/>
                <w:b/>
                <w:bCs/>
                <w:color w:val="000000"/>
                <w:kern w:val="0"/>
                <w:sz w:val="21"/>
                <w:szCs w:val="21"/>
              </w:rPr>
              <w:t>集体工业用地</w:t>
            </w:r>
          </w:p>
        </w:tc>
      </w:tr>
      <w:tr w:rsidR="007F1BDF" w14:paraId="2F84DF62" w14:textId="77777777" w:rsidTr="007F1BDF">
        <w:trPr>
          <w:gridAfter w:val="1"/>
          <w:wAfter w:w="480" w:type="dxa"/>
          <w:trHeight w:val="369"/>
          <w:jc w:val="center"/>
        </w:trPr>
        <w:tc>
          <w:tcPr>
            <w:tcW w:w="1414" w:type="dxa"/>
            <w:vMerge/>
            <w:tcBorders>
              <w:top w:val="single" w:sz="4" w:space="0" w:color="auto"/>
              <w:left w:val="single" w:sz="4" w:space="0" w:color="auto"/>
              <w:bottom w:val="single" w:sz="4" w:space="0" w:color="auto"/>
              <w:right w:val="single" w:sz="4" w:space="0" w:color="auto"/>
            </w:tcBorders>
            <w:vAlign w:val="center"/>
            <w:hideMark/>
          </w:tcPr>
          <w:p w14:paraId="27C22F34" w14:textId="77777777" w:rsidR="007F1BDF" w:rsidRDefault="007F1BDF">
            <w:pPr>
              <w:widowControl/>
              <w:jc w:val="left"/>
              <w:rPr>
                <w:b/>
                <w:bCs/>
                <w:color w:val="000000"/>
                <w:kern w:val="0"/>
                <w:sz w:val="21"/>
                <w:szCs w:val="21"/>
              </w:rPr>
            </w:pPr>
          </w:p>
        </w:tc>
        <w:tc>
          <w:tcPr>
            <w:tcW w:w="7306" w:type="dxa"/>
            <w:vMerge/>
            <w:tcBorders>
              <w:top w:val="single" w:sz="4" w:space="0" w:color="auto"/>
              <w:left w:val="single" w:sz="4" w:space="0" w:color="auto"/>
              <w:bottom w:val="single" w:sz="4" w:space="0" w:color="auto"/>
              <w:right w:val="single" w:sz="4" w:space="0" w:color="auto"/>
            </w:tcBorders>
            <w:vAlign w:val="center"/>
            <w:hideMark/>
          </w:tcPr>
          <w:p w14:paraId="5F999E8D" w14:textId="77777777" w:rsidR="007F1BDF" w:rsidRDefault="007F1BDF">
            <w:pPr>
              <w:widowControl/>
              <w:jc w:val="left"/>
              <w:rPr>
                <w:b/>
                <w:bCs/>
                <w:color w:val="000000"/>
                <w:kern w:val="0"/>
                <w:sz w:val="21"/>
                <w:szCs w:val="21"/>
              </w:rPr>
            </w:pPr>
          </w:p>
        </w:tc>
        <w:tc>
          <w:tcPr>
            <w:tcW w:w="1884" w:type="dxa"/>
            <w:tcBorders>
              <w:top w:val="single" w:sz="4" w:space="0" w:color="auto"/>
              <w:left w:val="single" w:sz="4" w:space="0" w:color="auto"/>
              <w:bottom w:val="single" w:sz="4" w:space="0" w:color="auto"/>
              <w:right w:val="single" w:sz="4" w:space="0" w:color="auto"/>
            </w:tcBorders>
            <w:vAlign w:val="center"/>
            <w:hideMark/>
          </w:tcPr>
          <w:p w14:paraId="23647E10" w14:textId="77777777" w:rsidR="007F1BDF" w:rsidRDefault="007F1BDF">
            <w:pPr>
              <w:widowControl/>
              <w:jc w:val="center"/>
              <w:rPr>
                <w:b/>
                <w:bCs/>
                <w:color w:val="000000"/>
                <w:kern w:val="0"/>
                <w:sz w:val="21"/>
                <w:szCs w:val="21"/>
              </w:rPr>
            </w:pPr>
            <w:r>
              <w:rPr>
                <w:rFonts w:hint="eastAsia"/>
                <w:b/>
                <w:bCs/>
                <w:color w:val="000000"/>
                <w:kern w:val="0"/>
                <w:sz w:val="21"/>
                <w:szCs w:val="21"/>
              </w:rPr>
              <w:t>宅基地</w:t>
            </w:r>
          </w:p>
        </w:tc>
        <w:tc>
          <w:tcPr>
            <w:tcW w:w="1742" w:type="dxa"/>
            <w:tcBorders>
              <w:top w:val="single" w:sz="4" w:space="0" w:color="auto"/>
              <w:left w:val="single" w:sz="4" w:space="0" w:color="auto"/>
              <w:bottom w:val="single" w:sz="4" w:space="0" w:color="auto"/>
              <w:right w:val="single" w:sz="4" w:space="0" w:color="auto"/>
            </w:tcBorders>
            <w:vAlign w:val="center"/>
            <w:hideMark/>
          </w:tcPr>
          <w:p w14:paraId="6144E26F" w14:textId="77777777" w:rsidR="007F1BDF" w:rsidRDefault="007F1BDF">
            <w:pPr>
              <w:widowControl/>
              <w:jc w:val="center"/>
              <w:rPr>
                <w:b/>
                <w:bCs/>
                <w:color w:val="000000"/>
                <w:kern w:val="0"/>
                <w:sz w:val="21"/>
                <w:szCs w:val="21"/>
              </w:rPr>
            </w:pPr>
            <w:r>
              <w:rPr>
                <w:rFonts w:hint="eastAsia"/>
                <w:b/>
                <w:bCs/>
                <w:color w:val="000000"/>
                <w:kern w:val="0"/>
                <w:sz w:val="21"/>
                <w:szCs w:val="21"/>
              </w:rPr>
              <w:t>集体租赁住房用地</w:t>
            </w: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2AAFA620" w14:textId="77777777" w:rsidR="007F1BDF" w:rsidRDefault="007F1BDF">
            <w:pPr>
              <w:widowControl/>
              <w:jc w:val="left"/>
              <w:rPr>
                <w:b/>
                <w:bCs/>
                <w:color w:val="000000"/>
                <w:kern w:val="0"/>
                <w:sz w:val="21"/>
                <w:szCs w:val="21"/>
              </w:rPr>
            </w:pPr>
          </w:p>
        </w:tc>
      </w:tr>
      <w:tr w:rsidR="007F1BDF" w14:paraId="6D2BFE95" w14:textId="77777777" w:rsidTr="007F1BDF">
        <w:trPr>
          <w:gridAfter w:val="1"/>
          <w:wAfter w:w="480" w:type="dxa"/>
          <w:trHeight w:val="369"/>
          <w:jc w:val="center"/>
        </w:trPr>
        <w:tc>
          <w:tcPr>
            <w:tcW w:w="1414" w:type="dxa"/>
            <w:vMerge/>
            <w:tcBorders>
              <w:top w:val="single" w:sz="4" w:space="0" w:color="auto"/>
              <w:left w:val="single" w:sz="4" w:space="0" w:color="auto"/>
              <w:bottom w:val="single" w:sz="4" w:space="0" w:color="auto"/>
              <w:right w:val="single" w:sz="4" w:space="0" w:color="auto"/>
            </w:tcBorders>
            <w:vAlign w:val="center"/>
            <w:hideMark/>
          </w:tcPr>
          <w:p w14:paraId="177A9090" w14:textId="77777777" w:rsidR="007F1BDF" w:rsidRDefault="007F1BDF">
            <w:pPr>
              <w:widowControl/>
              <w:jc w:val="left"/>
              <w:rPr>
                <w:b/>
                <w:bCs/>
                <w:color w:val="000000"/>
                <w:kern w:val="0"/>
                <w:sz w:val="21"/>
                <w:szCs w:val="21"/>
              </w:rPr>
            </w:pPr>
          </w:p>
        </w:tc>
        <w:tc>
          <w:tcPr>
            <w:tcW w:w="7306" w:type="dxa"/>
            <w:gridSpan w:val="4"/>
            <w:tcBorders>
              <w:top w:val="single" w:sz="4" w:space="0" w:color="auto"/>
              <w:left w:val="single" w:sz="4" w:space="0" w:color="auto"/>
              <w:bottom w:val="single" w:sz="4" w:space="0" w:color="auto"/>
              <w:right w:val="single" w:sz="4" w:space="0" w:color="auto"/>
            </w:tcBorders>
            <w:vAlign w:val="center"/>
            <w:hideMark/>
          </w:tcPr>
          <w:p w14:paraId="5408B59C" w14:textId="77777777" w:rsidR="007F1BDF" w:rsidRDefault="007F1BDF">
            <w:pPr>
              <w:widowControl/>
              <w:jc w:val="center"/>
              <w:rPr>
                <w:kern w:val="0"/>
                <w:sz w:val="24"/>
                <w:szCs w:val="24"/>
              </w:rPr>
            </w:pPr>
            <w:r>
              <w:rPr>
                <w:rFonts w:hint="eastAsia"/>
                <w:color w:val="000000"/>
                <w:kern w:val="0"/>
                <w:sz w:val="21"/>
                <w:szCs w:val="21"/>
              </w:rPr>
              <w:t>在符合国土空间规划等法定规划和用途管制前提下，土地权属清晰无争议，可依法取得集体土地所有证和集体土地使用证的集体建设用地。</w:t>
            </w:r>
          </w:p>
        </w:tc>
      </w:tr>
      <w:tr w:rsidR="007F1BDF" w14:paraId="4CBC3558" w14:textId="77777777" w:rsidTr="007F1BDF">
        <w:trPr>
          <w:gridAfter w:val="1"/>
          <w:wAfter w:w="480" w:type="dxa"/>
          <w:trHeight w:val="369"/>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4BD27CF5" w14:textId="77777777" w:rsidR="007F1BDF" w:rsidRDefault="007F1BDF">
            <w:pPr>
              <w:widowControl/>
              <w:jc w:val="center"/>
              <w:rPr>
                <w:b/>
                <w:bCs/>
                <w:color w:val="000000"/>
                <w:kern w:val="0"/>
                <w:sz w:val="21"/>
                <w:szCs w:val="21"/>
              </w:rPr>
            </w:pPr>
            <w:r>
              <w:rPr>
                <w:rFonts w:hint="eastAsia"/>
                <w:b/>
                <w:bCs/>
                <w:color w:val="000000"/>
                <w:kern w:val="0"/>
                <w:sz w:val="21"/>
                <w:szCs w:val="21"/>
              </w:rPr>
              <w:t>估价期日</w:t>
            </w:r>
          </w:p>
        </w:tc>
        <w:tc>
          <w:tcPr>
            <w:tcW w:w="7306" w:type="dxa"/>
            <w:gridSpan w:val="4"/>
            <w:tcBorders>
              <w:top w:val="single" w:sz="4" w:space="0" w:color="auto"/>
              <w:left w:val="single" w:sz="4" w:space="0" w:color="auto"/>
              <w:bottom w:val="single" w:sz="4" w:space="0" w:color="auto"/>
              <w:right w:val="single" w:sz="4" w:space="0" w:color="auto"/>
            </w:tcBorders>
            <w:vAlign w:val="center"/>
            <w:hideMark/>
          </w:tcPr>
          <w:p w14:paraId="6510B352" w14:textId="77777777" w:rsidR="007F1BDF" w:rsidRDefault="007F1BDF">
            <w:pPr>
              <w:widowControl/>
              <w:jc w:val="center"/>
              <w:rPr>
                <w:color w:val="000000"/>
                <w:kern w:val="0"/>
                <w:sz w:val="21"/>
                <w:szCs w:val="21"/>
              </w:rPr>
            </w:pPr>
            <w:r>
              <w:rPr>
                <w:color w:val="000000"/>
                <w:kern w:val="0"/>
                <w:sz w:val="21"/>
                <w:szCs w:val="21"/>
              </w:rPr>
              <w:t>2020</w:t>
            </w:r>
            <w:r>
              <w:rPr>
                <w:rFonts w:hint="eastAsia"/>
                <w:color w:val="000000"/>
                <w:kern w:val="0"/>
                <w:sz w:val="21"/>
                <w:szCs w:val="21"/>
              </w:rPr>
              <w:t>年</w:t>
            </w:r>
            <w:r>
              <w:rPr>
                <w:color w:val="000000"/>
                <w:kern w:val="0"/>
                <w:sz w:val="21"/>
                <w:szCs w:val="21"/>
              </w:rPr>
              <w:t>1</w:t>
            </w:r>
            <w:r>
              <w:rPr>
                <w:rFonts w:hint="eastAsia"/>
                <w:color w:val="000000"/>
                <w:kern w:val="0"/>
                <w:sz w:val="21"/>
                <w:szCs w:val="21"/>
              </w:rPr>
              <w:t>月</w:t>
            </w:r>
            <w:r>
              <w:rPr>
                <w:color w:val="000000"/>
                <w:kern w:val="0"/>
                <w:sz w:val="21"/>
                <w:szCs w:val="21"/>
              </w:rPr>
              <w:t>1</w:t>
            </w:r>
            <w:r>
              <w:rPr>
                <w:rFonts w:hint="eastAsia"/>
                <w:color w:val="000000"/>
                <w:kern w:val="0"/>
                <w:sz w:val="21"/>
                <w:szCs w:val="21"/>
              </w:rPr>
              <w:t>日</w:t>
            </w:r>
          </w:p>
        </w:tc>
      </w:tr>
      <w:tr w:rsidR="007F1BDF" w14:paraId="3F125822" w14:textId="77777777" w:rsidTr="007F1BDF">
        <w:trPr>
          <w:gridAfter w:val="1"/>
          <w:wAfter w:w="480" w:type="dxa"/>
          <w:trHeight w:val="369"/>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6B5741AA" w14:textId="77777777" w:rsidR="007F1BDF" w:rsidRDefault="007F1BDF">
            <w:pPr>
              <w:widowControl/>
              <w:jc w:val="center"/>
              <w:rPr>
                <w:b/>
                <w:bCs/>
                <w:color w:val="000000"/>
                <w:kern w:val="0"/>
                <w:sz w:val="21"/>
                <w:szCs w:val="21"/>
              </w:rPr>
            </w:pPr>
            <w:r>
              <w:rPr>
                <w:rFonts w:hint="eastAsia"/>
                <w:b/>
                <w:bCs/>
                <w:color w:val="000000"/>
                <w:kern w:val="0"/>
                <w:sz w:val="21"/>
                <w:szCs w:val="21"/>
              </w:rPr>
              <w:t>土地开发程度</w:t>
            </w:r>
          </w:p>
        </w:tc>
        <w:tc>
          <w:tcPr>
            <w:tcW w:w="1741" w:type="dxa"/>
            <w:tcBorders>
              <w:top w:val="single" w:sz="4" w:space="0" w:color="auto"/>
              <w:left w:val="single" w:sz="4" w:space="0" w:color="auto"/>
              <w:bottom w:val="single" w:sz="4" w:space="0" w:color="auto"/>
              <w:right w:val="single" w:sz="4" w:space="0" w:color="auto"/>
            </w:tcBorders>
            <w:vAlign w:val="center"/>
            <w:hideMark/>
          </w:tcPr>
          <w:p w14:paraId="0D7F08A7" w14:textId="77777777" w:rsidR="007F1BDF" w:rsidRDefault="007F1BDF">
            <w:pPr>
              <w:widowControl/>
              <w:jc w:val="center"/>
              <w:rPr>
                <w:color w:val="000000"/>
                <w:kern w:val="0"/>
                <w:sz w:val="21"/>
                <w:szCs w:val="21"/>
              </w:rPr>
            </w:pPr>
            <w:r>
              <w:rPr>
                <w:rFonts w:hint="eastAsia"/>
                <w:color w:val="000000"/>
                <w:kern w:val="0"/>
                <w:sz w:val="21"/>
                <w:szCs w:val="21"/>
              </w:rPr>
              <w:t>五通一平</w:t>
            </w:r>
          </w:p>
        </w:tc>
        <w:tc>
          <w:tcPr>
            <w:tcW w:w="1884" w:type="dxa"/>
            <w:tcBorders>
              <w:top w:val="single" w:sz="4" w:space="0" w:color="auto"/>
              <w:left w:val="single" w:sz="4" w:space="0" w:color="auto"/>
              <w:bottom w:val="single" w:sz="4" w:space="0" w:color="auto"/>
              <w:right w:val="single" w:sz="4" w:space="0" w:color="auto"/>
            </w:tcBorders>
            <w:vAlign w:val="center"/>
            <w:hideMark/>
          </w:tcPr>
          <w:p w14:paraId="5D7BA5BD" w14:textId="77777777" w:rsidR="007F1BDF" w:rsidRDefault="007F1BDF">
            <w:pPr>
              <w:widowControl/>
              <w:jc w:val="center"/>
              <w:rPr>
                <w:color w:val="000000"/>
                <w:kern w:val="0"/>
                <w:sz w:val="21"/>
                <w:szCs w:val="21"/>
              </w:rPr>
            </w:pPr>
            <w:r>
              <w:rPr>
                <w:rFonts w:hint="eastAsia"/>
                <w:color w:val="000000"/>
                <w:kern w:val="0"/>
                <w:sz w:val="21"/>
                <w:szCs w:val="21"/>
              </w:rPr>
              <w:t>五通一平</w:t>
            </w:r>
          </w:p>
        </w:tc>
        <w:tc>
          <w:tcPr>
            <w:tcW w:w="1742" w:type="dxa"/>
            <w:tcBorders>
              <w:top w:val="single" w:sz="4" w:space="0" w:color="auto"/>
              <w:left w:val="single" w:sz="4" w:space="0" w:color="auto"/>
              <w:bottom w:val="single" w:sz="4" w:space="0" w:color="auto"/>
              <w:right w:val="single" w:sz="4" w:space="0" w:color="auto"/>
            </w:tcBorders>
            <w:vAlign w:val="center"/>
            <w:hideMark/>
          </w:tcPr>
          <w:p w14:paraId="6B9230E7" w14:textId="77777777" w:rsidR="007F1BDF" w:rsidRDefault="007F1BDF">
            <w:pPr>
              <w:widowControl/>
              <w:jc w:val="center"/>
              <w:rPr>
                <w:color w:val="000000"/>
                <w:kern w:val="0"/>
                <w:sz w:val="21"/>
                <w:szCs w:val="21"/>
              </w:rPr>
            </w:pPr>
            <w:r>
              <w:rPr>
                <w:rFonts w:hint="eastAsia"/>
                <w:color w:val="000000"/>
                <w:kern w:val="0"/>
                <w:sz w:val="21"/>
                <w:szCs w:val="21"/>
              </w:rPr>
              <w:t>五通一平</w:t>
            </w:r>
          </w:p>
        </w:tc>
        <w:tc>
          <w:tcPr>
            <w:tcW w:w="1939" w:type="dxa"/>
            <w:tcBorders>
              <w:top w:val="single" w:sz="4" w:space="0" w:color="auto"/>
              <w:left w:val="single" w:sz="4" w:space="0" w:color="auto"/>
              <w:bottom w:val="single" w:sz="4" w:space="0" w:color="auto"/>
              <w:right w:val="single" w:sz="4" w:space="0" w:color="auto"/>
            </w:tcBorders>
            <w:vAlign w:val="center"/>
            <w:hideMark/>
          </w:tcPr>
          <w:p w14:paraId="626B07AD" w14:textId="77777777" w:rsidR="007F1BDF" w:rsidRDefault="007F1BDF">
            <w:pPr>
              <w:widowControl/>
              <w:jc w:val="center"/>
              <w:rPr>
                <w:color w:val="000000"/>
                <w:kern w:val="0"/>
                <w:sz w:val="21"/>
                <w:szCs w:val="21"/>
              </w:rPr>
            </w:pPr>
            <w:r>
              <w:rPr>
                <w:rFonts w:hint="eastAsia"/>
                <w:color w:val="000000"/>
                <w:kern w:val="0"/>
                <w:sz w:val="21"/>
                <w:szCs w:val="21"/>
              </w:rPr>
              <w:t>五通一平</w:t>
            </w:r>
          </w:p>
        </w:tc>
      </w:tr>
      <w:tr w:rsidR="007F1BDF" w14:paraId="40648FB7" w14:textId="77777777" w:rsidTr="007F1BDF">
        <w:trPr>
          <w:gridAfter w:val="1"/>
          <w:wAfter w:w="480" w:type="dxa"/>
          <w:trHeight w:val="1529"/>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3DCBD37D" w14:textId="77777777" w:rsidR="007F1BDF" w:rsidRDefault="007F1BDF">
            <w:pPr>
              <w:widowControl/>
              <w:jc w:val="center"/>
              <w:rPr>
                <w:b/>
                <w:bCs/>
                <w:color w:val="000000"/>
                <w:kern w:val="0"/>
                <w:sz w:val="21"/>
                <w:szCs w:val="21"/>
              </w:rPr>
            </w:pPr>
            <w:r>
              <w:rPr>
                <w:rFonts w:hint="eastAsia"/>
                <w:b/>
                <w:bCs/>
                <w:color w:val="000000"/>
                <w:kern w:val="0"/>
                <w:sz w:val="21"/>
                <w:szCs w:val="21"/>
              </w:rPr>
              <w:lastRenderedPageBreak/>
              <w:t>设定容积率</w:t>
            </w:r>
          </w:p>
        </w:tc>
        <w:tc>
          <w:tcPr>
            <w:tcW w:w="1741" w:type="dxa"/>
            <w:tcBorders>
              <w:top w:val="single" w:sz="4" w:space="0" w:color="auto"/>
              <w:left w:val="single" w:sz="4" w:space="0" w:color="auto"/>
              <w:bottom w:val="single" w:sz="4" w:space="0" w:color="auto"/>
              <w:right w:val="single" w:sz="4" w:space="0" w:color="auto"/>
            </w:tcBorders>
            <w:vAlign w:val="center"/>
            <w:hideMark/>
          </w:tcPr>
          <w:p w14:paraId="4F7D32A8" w14:textId="77777777" w:rsidR="007F1BDF" w:rsidRDefault="007F1BDF">
            <w:pPr>
              <w:widowControl/>
              <w:jc w:val="center"/>
              <w:rPr>
                <w:color w:val="000000"/>
                <w:kern w:val="0"/>
                <w:sz w:val="21"/>
                <w:szCs w:val="21"/>
              </w:rPr>
            </w:pPr>
            <w:r>
              <w:rPr>
                <w:color w:val="000000"/>
                <w:kern w:val="0"/>
                <w:sz w:val="21"/>
                <w:szCs w:val="21"/>
              </w:rPr>
              <w:t>2.0</w:t>
            </w:r>
          </w:p>
        </w:tc>
        <w:tc>
          <w:tcPr>
            <w:tcW w:w="1884" w:type="dxa"/>
            <w:tcBorders>
              <w:top w:val="single" w:sz="4" w:space="0" w:color="auto"/>
              <w:left w:val="single" w:sz="4" w:space="0" w:color="auto"/>
              <w:bottom w:val="single" w:sz="4" w:space="0" w:color="auto"/>
              <w:right w:val="single" w:sz="4" w:space="0" w:color="auto"/>
            </w:tcBorders>
            <w:vAlign w:val="center"/>
            <w:hideMark/>
          </w:tcPr>
          <w:p w14:paraId="110D457B" w14:textId="77777777" w:rsidR="007F1BDF" w:rsidRDefault="007F1BDF">
            <w:pPr>
              <w:widowControl/>
              <w:jc w:val="center"/>
              <w:rPr>
                <w:color w:val="000000"/>
                <w:kern w:val="0"/>
                <w:sz w:val="21"/>
                <w:szCs w:val="21"/>
              </w:rPr>
            </w:pPr>
            <w:r>
              <w:rPr>
                <w:color w:val="000000"/>
                <w:kern w:val="0"/>
                <w:sz w:val="21"/>
                <w:szCs w:val="21"/>
              </w:rPr>
              <w:t>2.33</w:t>
            </w:r>
          </w:p>
        </w:tc>
        <w:tc>
          <w:tcPr>
            <w:tcW w:w="1742" w:type="dxa"/>
            <w:tcBorders>
              <w:top w:val="single" w:sz="4" w:space="0" w:color="auto"/>
              <w:left w:val="single" w:sz="4" w:space="0" w:color="auto"/>
              <w:bottom w:val="single" w:sz="4" w:space="0" w:color="auto"/>
              <w:right w:val="single" w:sz="4" w:space="0" w:color="auto"/>
            </w:tcBorders>
            <w:vAlign w:val="center"/>
            <w:hideMark/>
          </w:tcPr>
          <w:p w14:paraId="452F291E" w14:textId="77777777" w:rsidR="007F1BDF" w:rsidRDefault="007F1BDF">
            <w:pPr>
              <w:widowControl/>
              <w:jc w:val="center"/>
              <w:rPr>
                <w:color w:val="000000"/>
                <w:kern w:val="0"/>
                <w:sz w:val="21"/>
                <w:szCs w:val="21"/>
              </w:rPr>
            </w:pPr>
            <w:r>
              <w:rPr>
                <w:rFonts w:hint="eastAsia"/>
                <w:color w:val="000000"/>
                <w:kern w:val="0"/>
                <w:sz w:val="21"/>
                <w:szCs w:val="21"/>
              </w:rPr>
              <w:t>一至七级容积率为</w:t>
            </w:r>
            <w:r>
              <w:rPr>
                <w:color w:val="000000"/>
                <w:kern w:val="0"/>
                <w:sz w:val="21"/>
                <w:szCs w:val="21"/>
              </w:rPr>
              <w:t>2.7</w:t>
            </w:r>
            <w:r>
              <w:rPr>
                <w:rFonts w:hint="eastAsia"/>
                <w:color w:val="000000"/>
                <w:kern w:val="0"/>
                <w:sz w:val="21"/>
                <w:szCs w:val="21"/>
              </w:rPr>
              <w:t>，八至十一级容积率为</w:t>
            </w:r>
            <w:r>
              <w:rPr>
                <w:color w:val="000000"/>
                <w:kern w:val="0"/>
                <w:sz w:val="21"/>
                <w:szCs w:val="21"/>
              </w:rPr>
              <w:t>2.1</w:t>
            </w:r>
          </w:p>
        </w:tc>
        <w:tc>
          <w:tcPr>
            <w:tcW w:w="1939" w:type="dxa"/>
            <w:tcBorders>
              <w:top w:val="single" w:sz="4" w:space="0" w:color="auto"/>
              <w:left w:val="single" w:sz="4" w:space="0" w:color="auto"/>
              <w:bottom w:val="single" w:sz="4" w:space="0" w:color="auto"/>
              <w:right w:val="single" w:sz="4" w:space="0" w:color="auto"/>
            </w:tcBorders>
            <w:vAlign w:val="center"/>
            <w:hideMark/>
          </w:tcPr>
          <w:p w14:paraId="3D494EE6" w14:textId="77777777" w:rsidR="007F1BDF" w:rsidRDefault="007F1BDF">
            <w:pPr>
              <w:widowControl/>
              <w:jc w:val="center"/>
              <w:rPr>
                <w:color w:val="000000"/>
                <w:kern w:val="0"/>
                <w:sz w:val="21"/>
                <w:szCs w:val="21"/>
              </w:rPr>
            </w:pPr>
            <w:r>
              <w:rPr>
                <w:color w:val="000000"/>
                <w:kern w:val="0"/>
                <w:sz w:val="21"/>
                <w:szCs w:val="21"/>
              </w:rPr>
              <w:t>1.0</w:t>
            </w:r>
          </w:p>
        </w:tc>
      </w:tr>
      <w:tr w:rsidR="007F1BDF" w14:paraId="3517FA65" w14:textId="77777777" w:rsidTr="007F1BDF">
        <w:trPr>
          <w:gridAfter w:val="1"/>
          <w:wAfter w:w="480" w:type="dxa"/>
          <w:trHeight w:val="369"/>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6CEA483A" w14:textId="77777777" w:rsidR="007F1BDF" w:rsidRDefault="007F1BDF">
            <w:pPr>
              <w:widowControl/>
              <w:jc w:val="center"/>
              <w:rPr>
                <w:b/>
                <w:bCs/>
                <w:color w:val="000000"/>
                <w:kern w:val="0"/>
                <w:sz w:val="21"/>
                <w:szCs w:val="21"/>
              </w:rPr>
            </w:pPr>
            <w:r>
              <w:rPr>
                <w:rFonts w:hint="eastAsia"/>
                <w:b/>
                <w:bCs/>
                <w:color w:val="000000"/>
                <w:kern w:val="0"/>
                <w:sz w:val="21"/>
                <w:szCs w:val="21"/>
              </w:rPr>
              <w:t>土地使用年限</w:t>
            </w:r>
          </w:p>
        </w:tc>
        <w:tc>
          <w:tcPr>
            <w:tcW w:w="1741" w:type="dxa"/>
            <w:tcBorders>
              <w:top w:val="single" w:sz="4" w:space="0" w:color="auto"/>
              <w:left w:val="single" w:sz="4" w:space="0" w:color="auto"/>
              <w:bottom w:val="single" w:sz="4" w:space="0" w:color="auto"/>
              <w:right w:val="single" w:sz="4" w:space="0" w:color="auto"/>
            </w:tcBorders>
            <w:vAlign w:val="center"/>
            <w:hideMark/>
          </w:tcPr>
          <w:p w14:paraId="72E1D6B9" w14:textId="77777777" w:rsidR="007F1BDF" w:rsidRDefault="007F1BDF">
            <w:pPr>
              <w:widowControl/>
              <w:jc w:val="center"/>
              <w:rPr>
                <w:color w:val="000000"/>
                <w:kern w:val="0"/>
                <w:sz w:val="21"/>
                <w:szCs w:val="21"/>
              </w:rPr>
            </w:pPr>
            <w:r>
              <w:rPr>
                <w:color w:val="000000"/>
                <w:kern w:val="0"/>
                <w:sz w:val="21"/>
                <w:szCs w:val="21"/>
              </w:rPr>
              <w:t>40</w:t>
            </w:r>
            <w:r>
              <w:rPr>
                <w:rFonts w:hint="eastAsia"/>
                <w:color w:val="000000"/>
                <w:kern w:val="0"/>
                <w:sz w:val="21"/>
                <w:szCs w:val="21"/>
              </w:rPr>
              <w:t>年</w:t>
            </w:r>
          </w:p>
        </w:tc>
        <w:tc>
          <w:tcPr>
            <w:tcW w:w="1884" w:type="dxa"/>
            <w:tcBorders>
              <w:top w:val="single" w:sz="4" w:space="0" w:color="auto"/>
              <w:left w:val="single" w:sz="4" w:space="0" w:color="auto"/>
              <w:bottom w:val="single" w:sz="4" w:space="0" w:color="auto"/>
              <w:right w:val="single" w:sz="4" w:space="0" w:color="auto"/>
            </w:tcBorders>
            <w:vAlign w:val="center"/>
            <w:hideMark/>
          </w:tcPr>
          <w:p w14:paraId="5CF76892" w14:textId="77777777" w:rsidR="007F1BDF" w:rsidRDefault="007F1BDF">
            <w:pPr>
              <w:widowControl/>
              <w:jc w:val="center"/>
              <w:rPr>
                <w:color w:val="000000"/>
                <w:kern w:val="0"/>
                <w:sz w:val="21"/>
                <w:szCs w:val="21"/>
              </w:rPr>
            </w:pPr>
            <w:r>
              <w:rPr>
                <w:rFonts w:hint="eastAsia"/>
                <w:color w:val="000000"/>
                <w:kern w:val="0"/>
                <w:sz w:val="21"/>
                <w:szCs w:val="21"/>
              </w:rPr>
              <w:t>无年期限制</w:t>
            </w:r>
          </w:p>
        </w:tc>
        <w:tc>
          <w:tcPr>
            <w:tcW w:w="1742" w:type="dxa"/>
            <w:tcBorders>
              <w:top w:val="single" w:sz="4" w:space="0" w:color="auto"/>
              <w:left w:val="single" w:sz="4" w:space="0" w:color="auto"/>
              <w:bottom w:val="single" w:sz="4" w:space="0" w:color="auto"/>
              <w:right w:val="single" w:sz="4" w:space="0" w:color="auto"/>
            </w:tcBorders>
            <w:vAlign w:val="center"/>
            <w:hideMark/>
          </w:tcPr>
          <w:p w14:paraId="1A73A280" w14:textId="77777777" w:rsidR="007F1BDF" w:rsidRDefault="007F1BDF">
            <w:pPr>
              <w:widowControl/>
              <w:jc w:val="center"/>
              <w:rPr>
                <w:color w:val="000000"/>
                <w:kern w:val="0"/>
                <w:sz w:val="21"/>
                <w:szCs w:val="21"/>
              </w:rPr>
            </w:pPr>
            <w:r>
              <w:rPr>
                <w:color w:val="000000"/>
                <w:kern w:val="0"/>
                <w:sz w:val="21"/>
                <w:szCs w:val="21"/>
              </w:rPr>
              <w:t>70</w:t>
            </w:r>
            <w:r>
              <w:rPr>
                <w:rFonts w:hint="eastAsia"/>
                <w:color w:val="000000"/>
                <w:kern w:val="0"/>
                <w:sz w:val="21"/>
                <w:szCs w:val="21"/>
              </w:rPr>
              <w:t>年</w:t>
            </w:r>
          </w:p>
        </w:tc>
        <w:tc>
          <w:tcPr>
            <w:tcW w:w="1939" w:type="dxa"/>
            <w:tcBorders>
              <w:top w:val="single" w:sz="4" w:space="0" w:color="auto"/>
              <w:left w:val="single" w:sz="4" w:space="0" w:color="auto"/>
              <w:bottom w:val="single" w:sz="4" w:space="0" w:color="auto"/>
              <w:right w:val="single" w:sz="4" w:space="0" w:color="auto"/>
            </w:tcBorders>
            <w:vAlign w:val="center"/>
            <w:hideMark/>
          </w:tcPr>
          <w:p w14:paraId="612DCCD5" w14:textId="77777777" w:rsidR="007F1BDF" w:rsidRDefault="007F1BDF">
            <w:pPr>
              <w:widowControl/>
              <w:jc w:val="center"/>
              <w:rPr>
                <w:color w:val="000000"/>
                <w:kern w:val="0"/>
                <w:sz w:val="21"/>
                <w:szCs w:val="21"/>
              </w:rPr>
            </w:pPr>
            <w:r>
              <w:rPr>
                <w:color w:val="000000"/>
                <w:kern w:val="0"/>
                <w:sz w:val="21"/>
                <w:szCs w:val="21"/>
              </w:rPr>
              <w:t>50</w:t>
            </w:r>
            <w:r>
              <w:rPr>
                <w:rFonts w:hint="eastAsia"/>
                <w:color w:val="000000"/>
                <w:kern w:val="0"/>
                <w:sz w:val="21"/>
                <w:szCs w:val="21"/>
              </w:rPr>
              <w:t>年</w:t>
            </w:r>
          </w:p>
        </w:tc>
      </w:tr>
      <w:tr w:rsidR="007F1BDF" w14:paraId="72C60AD0" w14:textId="77777777" w:rsidTr="007F1BDF">
        <w:trPr>
          <w:gridAfter w:val="1"/>
          <w:wAfter w:w="480" w:type="dxa"/>
          <w:trHeight w:val="369"/>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73EDC78F" w14:textId="77777777" w:rsidR="007F1BDF" w:rsidRDefault="007F1BDF">
            <w:pPr>
              <w:widowControl/>
              <w:jc w:val="center"/>
              <w:rPr>
                <w:b/>
                <w:bCs/>
                <w:color w:val="000000"/>
                <w:kern w:val="0"/>
                <w:sz w:val="21"/>
                <w:szCs w:val="21"/>
              </w:rPr>
            </w:pPr>
            <w:r>
              <w:rPr>
                <w:rFonts w:hint="eastAsia"/>
                <w:b/>
                <w:bCs/>
                <w:color w:val="000000"/>
                <w:kern w:val="0"/>
                <w:sz w:val="21"/>
                <w:szCs w:val="21"/>
              </w:rPr>
              <w:t>地价表现形式</w:t>
            </w:r>
          </w:p>
        </w:tc>
        <w:tc>
          <w:tcPr>
            <w:tcW w:w="1741" w:type="dxa"/>
            <w:tcBorders>
              <w:top w:val="single" w:sz="4" w:space="0" w:color="auto"/>
              <w:left w:val="single" w:sz="4" w:space="0" w:color="auto"/>
              <w:bottom w:val="single" w:sz="4" w:space="0" w:color="auto"/>
              <w:right w:val="single" w:sz="4" w:space="0" w:color="auto"/>
            </w:tcBorders>
            <w:vAlign w:val="center"/>
            <w:hideMark/>
          </w:tcPr>
          <w:p w14:paraId="040DB51C" w14:textId="77777777" w:rsidR="007F1BDF" w:rsidRDefault="007F1BDF">
            <w:pPr>
              <w:widowControl/>
              <w:jc w:val="center"/>
              <w:rPr>
                <w:color w:val="000000"/>
                <w:kern w:val="0"/>
                <w:sz w:val="21"/>
                <w:szCs w:val="21"/>
              </w:rPr>
            </w:pPr>
            <w:r>
              <w:rPr>
                <w:rFonts w:hint="eastAsia"/>
                <w:color w:val="000000"/>
                <w:kern w:val="0"/>
                <w:sz w:val="21"/>
                <w:szCs w:val="21"/>
              </w:rPr>
              <w:t>级别价</w:t>
            </w:r>
            <w:r>
              <w:rPr>
                <w:color w:val="000000"/>
                <w:kern w:val="0"/>
                <w:sz w:val="21"/>
                <w:szCs w:val="21"/>
              </w:rPr>
              <w:t>/</w:t>
            </w:r>
            <w:r>
              <w:rPr>
                <w:rFonts w:hint="eastAsia"/>
                <w:color w:val="000000"/>
                <w:kern w:val="0"/>
                <w:sz w:val="21"/>
                <w:szCs w:val="21"/>
              </w:rPr>
              <w:t>区片价</w:t>
            </w:r>
          </w:p>
        </w:tc>
        <w:tc>
          <w:tcPr>
            <w:tcW w:w="1884" w:type="dxa"/>
            <w:tcBorders>
              <w:top w:val="single" w:sz="4" w:space="0" w:color="auto"/>
              <w:left w:val="single" w:sz="4" w:space="0" w:color="auto"/>
              <w:bottom w:val="single" w:sz="4" w:space="0" w:color="auto"/>
              <w:right w:val="single" w:sz="4" w:space="0" w:color="auto"/>
            </w:tcBorders>
            <w:vAlign w:val="center"/>
            <w:hideMark/>
          </w:tcPr>
          <w:p w14:paraId="1CE9A5E7" w14:textId="77777777" w:rsidR="007F1BDF" w:rsidRDefault="007F1BDF">
            <w:pPr>
              <w:widowControl/>
              <w:jc w:val="center"/>
              <w:rPr>
                <w:color w:val="000000"/>
                <w:kern w:val="0"/>
                <w:sz w:val="21"/>
                <w:szCs w:val="21"/>
              </w:rPr>
            </w:pPr>
            <w:r>
              <w:rPr>
                <w:rFonts w:hint="eastAsia"/>
                <w:color w:val="000000"/>
                <w:kern w:val="0"/>
                <w:sz w:val="21"/>
                <w:szCs w:val="21"/>
              </w:rPr>
              <w:t>级别价</w:t>
            </w:r>
            <w:r>
              <w:rPr>
                <w:color w:val="000000"/>
                <w:kern w:val="0"/>
                <w:sz w:val="21"/>
                <w:szCs w:val="21"/>
              </w:rPr>
              <w:t>/</w:t>
            </w:r>
            <w:r>
              <w:rPr>
                <w:rFonts w:hint="eastAsia"/>
                <w:color w:val="000000"/>
                <w:kern w:val="0"/>
                <w:sz w:val="21"/>
                <w:szCs w:val="21"/>
              </w:rPr>
              <w:t>区片价</w:t>
            </w:r>
          </w:p>
        </w:tc>
        <w:tc>
          <w:tcPr>
            <w:tcW w:w="1742" w:type="dxa"/>
            <w:tcBorders>
              <w:top w:val="single" w:sz="4" w:space="0" w:color="auto"/>
              <w:left w:val="single" w:sz="4" w:space="0" w:color="auto"/>
              <w:bottom w:val="single" w:sz="4" w:space="0" w:color="auto"/>
              <w:right w:val="single" w:sz="4" w:space="0" w:color="auto"/>
            </w:tcBorders>
            <w:vAlign w:val="center"/>
            <w:hideMark/>
          </w:tcPr>
          <w:p w14:paraId="4A8E4145" w14:textId="77777777" w:rsidR="007F1BDF" w:rsidRDefault="007F1BDF">
            <w:pPr>
              <w:widowControl/>
              <w:jc w:val="center"/>
              <w:rPr>
                <w:color w:val="000000"/>
                <w:kern w:val="0"/>
                <w:sz w:val="21"/>
                <w:szCs w:val="21"/>
              </w:rPr>
            </w:pPr>
            <w:r>
              <w:rPr>
                <w:rFonts w:hint="eastAsia"/>
                <w:color w:val="000000"/>
                <w:kern w:val="0"/>
                <w:sz w:val="21"/>
                <w:szCs w:val="21"/>
              </w:rPr>
              <w:t>级别价</w:t>
            </w:r>
            <w:r>
              <w:rPr>
                <w:color w:val="000000"/>
                <w:kern w:val="0"/>
                <w:sz w:val="21"/>
                <w:szCs w:val="21"/>
              </w:rPr>
              <w:t>/</w:t>
            </w:r>
            <w:r>
              <w:rPr>
                <w:rFonts w:hint="eastAsia"/>
                <w:color w:val="000000"/>
                <w:kern w:val="0"/>
                <w:sz w:val="21"/>
                <w:szCs w:val="21"/>
              </w:rPr>
              <w:t>区片价</w:t>
            </w:r>
          </w:p>
        </w:tc>
        <w:tc>
          <w:tcPr>
            <w:tcW w:w="1939" w:type="dxa"/>
            <w:tcBorders>
              <w:top w:val="single" w:sz="4" w:space="0" w:color="auto"/>
              <w:left w:val="single" w:sz="4" w:space="0" w:color="auto"/>
              <w:bottom w:val="single" w:sz="4" w:space="0" w:color="auto"/>
              <w:right w:val="single" w:sz="4" w:space="0" w:color="auto"/>
            </w:tcBorders>
            <w:vAlign w:val="center"/>
            <w:hideMark/>
          </w:tcPr>
          <w:p w14:paraId="4E6AD04D" w14:textId="77777777" w:rsidR="007F1BDF" w:rsidRDefault="007F1BDF">
            <w:pPr>
              <w:widowControl/>
              <w:jc w:val="center"/>
              <w:rPr>
                <w:color w:val="000000"/>
                <w:kern w:val="0"/>
                <w:sz w:val="21"/>
                <w:szCs w:val="21"/>
              </w:rPr>
            </w:pPr>
            <w:r>
              <w:rPr>
                <w:rFonts w:hint="eastAsia"/>
                <w:color w:val="000000"/>
                <w:kern w:val="0"/>
                <w:sz w:val="21"/>
                <w:szCs w:val="21"/>
              </w:rPr>
              <w:t>级别价</w:t>
            </w:r>
            <w:r>
              <w:rPr>
                <w:color w:val="000000"/>
                <w:kern w:val="0"/>
                <w:sz w:val="21"/>
                <w:szCs w:val="21"/>
              </w:rPr>
              <w:t>/</w:t>
            </w:r>
            <w:r>
              <w:rPr>
                <w:rFonts w:hint="eastAsia"/>
                <w:color w:val="000000"/>
                <w:kern w:val="0"/>
                <w:sz w:val="21"/>
                <w:szCs w:val="21"/>
              </w:rPr>
              <w:t>区片价</w:t>
            </w:r>
          </w:p>
        </w:tc>
      </w:tr>
      <w:tr w:rsidR="007F1BDF" w14:paraId="42D41E58" w14:textId="77777777" w:rsidTr="007F1BDF">
        <w:trPr>
          <w:gridAfter w:val="1"/>
          <w:wAfter w:w="480" w:type="dxa"/>
          <w:trHeight w:val="369"/>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3299BC88" w14:textId="77777777" w:rsidR="007F1BDF" w:rsidRDefault="007F1BDF">
            <w:pPr>
              <w:widowControl/>
              <w:jc w:val="center"/>
              <w:rPr>
                <w:b/>
                <w:bCs/>
                <w:color w:val="000000"/>
                <w:kern w:val="0"/>
                <w:sz w:val="21"/>
                <w:szCs w:val="21"/>
              </w:rPr>
            </w:pPr>
            <w:r>
              <w:rPr>
                <w:rFonts w:hint="eastAsia"/>
                <w:b/>
                <w:bCs/>
                <w:color w:val="000000"/>
                <w:kern w:val="0"/>
                <w:sz w:val="21"/>
                <w:szCs w:val="21"/>
              </w:rPr>
              <w:t>价格表达形式</w:t>
            </w:r>
          </w:p>
        </w:tc>
        <w:tc>
          <w:tcPr>
            <w:tcW w:w="1741" w:type="dxa"/>
            <w:tcBorders>
              <w:top w:val="single" w:sz="4" w:space="0" w:color="auto"/>
              <w:left w:val="single" w:sz="4" w:space="0" w:color="auto"/>
              <w:bottom w:val="single" w:sz="4" w:space="0" w:color="auto"/>
              <w:right w:val="single" w:sz="4" w:space="0" w:color="auto"/>
            </w:tcBorders>
            <w:vAlign w:val="center"/>
            <w:hideMark/>
          </w:tcPr>
          <w:p w14:paraId="4EE287B2" w14:textId="77777777" w:rsidR="007F1BDF" w:rsidRDefault="007F1BDF">
            <w:pPr>
              <w:widowControl/>
              <w:jc w:val="center"/>
              <w:rPr>
                <w:color w:val="000000"/>
                <w:kern w:val="0"/>
                <w:sz w:val="21"/>
                <w:szCs w:val="21"/>
              </w:rPr>
            </w:pPr>
            <w:r>
              <w:rPr>
                <w:rFonts w:hint="eastAsia"/>
                <w:color w:val="000000"/>
                <w:kern w:val="0"/>
                <w:sz w:val="21"/>
                <w:szCs w:val="21"/>
              </w:rPr>
              <w:t>首层楼面地价</w:t>
            </w:r>
          </w:p>
        </w:tc>
        <w:tc>
          <w:tcPr>
            <w:tcW w:w="1884" w:type="dxa"/>
            <w:tcBorders>
              <w:top w:val="single" w:sz="4" w:space="0" w:color="auto"/>
              <w:left w:val="single" w:sz="4" w:space="0" w:color="auto"/>
              <w:bottom w:val="single" w:sz="4" w:space="0" w:color="auto"/>
              <w:right w:val="single" w:sz="4" w:space="0" w:color="auto"/>
            </w:tcBorders>
            <w:vAlign w:val="center"/>
            <w:hideMark/>
          </w:tcPr>
          <w:p w14:paraId="637C8CC8" w14:textId="77777777" w:rsidR="007F1BDF" w:rsidRDefault="007F1BDF">
            <w:pPr>
              <w:widowControl/>
              <w:jc w:val="center"/>
              <w:rPr>
                <w:color w:val="000000"/>
                <w:kern w:val="0"/>
                <w:sz w:val="21"/>
                <w:szCs w:val="21"/>
              </w:rPr>
            </w:pPr>
            <w:r>
              <w:rPr>
                <w:rFonts w:hint="eastAsia"/>
                <w:color w:val="000000"/>
                <w:kern w:val="0"/>
                <w:sz w:val="21"/>
                <w:szCs w:val="21"/>
              </w:rPr>
              <w:t>平均楼面地价</w:t>
            </w:r>
          </w:p>
        </w:tc>
        <w:tc>
          <w:tcPr>
            <w:tcW w:w="1742" w:type="dxa"/>
            <w:tcBorders>
              <w:top w:val="single" w:sz="4" w:space="0" w:color="auto"/>
              <w:left w:val="single" w:sz="4" w:space="0" w:color="auto"/>
              <w:bottom w:val="single" w:sz="4" w:space="0" w:color="auto"/>
              <w:right w:val="single" w:sz="4" w:space="0" w:color="auto"/>
            </w:tcBorders>
            <w:vAlign w:val="center"/>
            <w:hideMark/>
          </w:tcPr>
          <w:p w14:paraId="3C31BBAF" w14:textId="77777777" w:rsidR="007F1BDF" w:rsidRDefault="007F1BDF">
            <w:pPr>
              <w:widowControl/>
              <w:jc w:val="center"/>
              <w:rPr>
                <w:color w:val="000000"/>
                <w:kern w:val="0"/>
                <w:sz w:val="21"/>
                <w:szCs w:val="21"/>
              </w:rPr>
            </w:pPr>
            <w:r>
              <w:rPr>
                <w:rFonts w:hint="eastAsia"/>
                <w:color w:val="000000"/>
                <w:kern w:val="0"/>
                <w:sz w:val="21"/>
                <w:szCs w:val="21"/>
              </w:rPr>
              <w:t>平均楼面地价</w:t>
            </w:r>
          </w:p>
        </w:tc>
        <w:tc>
          <w:tcPr>
            <w:tcW w:w="1939" w:type="dxa"/>
            <w:tcBorders>
              <w:top w:val="single" w:sz="4" w:space="0" w:color="auto"/>
              <w:left w:val="single" w:sz="4" w:space="0" w:color="auto"/>
              <w:bottom w:val="single" w:sz="4" w:space="0" w:color="auto"/>
              <w:right w:val="single" w:sz="4" w:space="0" w:color="auto"/>
            </w:tcBorders>
            <w:vAlign w:val="center"/>
            <w:hideMark/>
          </w:tcPr>
          <w:p w14:paraId="5AF9F90C" w14:textId="77777777" w:rsidR="007F1BDF" w:rsidRDefault="007F1BDF">
            <w:pPr>
              <w:widowControl/>
              <w:jc w:val="center"/>
              <w:rPr>
                <w:color w:val="000000"/>
                <w:kern w:val="0"/>
                <w:sz w:val="21"/>
                <w:szCs w:val="21"/>
              </w:rPr>
            </w:pPr>
            <w:r>
              <w:rPr>
                <w:rFonts w:hint="eastAsia"/>
                <w:color w:val="000000"/>
                <w:kern w:val="0"/>
                <w:sz w:val="21"/>
                <w:szCs w:val="21"/>
              </w:rPr>
              <w:t>地面地价</w:t>
            </w:r>
          </w:p>
        </w:tc>
      </w:tr>
      <w:tr w:rsidR="007F1BDF" w14:paraId="7F89A6B6" w14:textId="77777777" w:rsidTr="007F1BDF">
        <w:trPr>
          <w:gridAfter w:val="1"/>
          <w:wAfter w:w="480" w:type="dxa"/>
          <w:trHeight w:val="369"/>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5E9CFFC4" w14:textId="77777777" w:rsidR="007F1BDF" w:rsidRDefault="007F1BDF">
            <w:pPr>
              <w:widowControl/>
              <w:jc w:val="center"/>
              <w:rPr>
                <w:b/>
                <w:bCs/>
                <w:color w:val="000000"/>
                <w:kern w:val="0"/>
                <w:sz w:val="21"/>
                <w:szCs w:val="21"/>
              </w:rPr>
            </w:pPr>
            <w:r>
              <w:rPr>
                <w:rFonts w:hint="eastAsia"/>
                <w:b/>
                <w:bCs/>
                <w:color w:val="000000"/>
                <w:kern w:val="0"/>
                <w:sz w:val="21"/>
                <w:szCs w:val="21"/>
              </w:rPr>
              <w:t>市场特征及价格类型</w:t>
            </w:r>
          </w:p>
        </w:tc>
        <w:tc>
          <w:tcPr>
            <w:tcW w:w="1741" w:type="dxa"/>
            <w:tcBorders>
              <w:top w:val="single" w:sz="4" w:space="0" w:color="auto"/>
              <w:left w:val="single" w:sz="4" w:space="0" w:color="auto"/>
              <w:bottom w:val="single" w:sz="4" w:space="0" w:color="auto"/>
              <w:right w:val="single" w:sz="4" w:space="0" w:color="auto"/>
            </w:tcBorders>
            <w:vAlign w:val="center"/>
            <w:hideMark/>
          </w:tcPr>
          <w:p w14:paraId="480CEE53" w14:textId="77777777" w:rsidR="007F1BDF" w:rsidRDefault="007F1BDF">
            <w:pPr>
              <w:widowControl/>
              <w:jc w:val="center"/>
              <w:rPr>
                <w:color w:val="000000"/>
                <w:kern w:val="0"/>
                <w:sz w:val="21"/>
                <w:szCs w:val="21"/>
              </w:rPr>
            </w:pPr>
            <w:r>
              <w:rPr>
                <w:rFonts w:hint="eastAsia"/>
                <w:color w:val="000000"/>
                <w:kern w:val="0"/>
                <w:sz w:val="21"/>
                <w:szCs w:val="21"/>
              </w:rPr>
              <w:t>土地在平稳正常情况、公开竞争市场条件下的出让土地使用权平均价格</w:t>
            </w:r>
          </w:p>
        </w:tc>
        <w:tc>
          <w:tcPr>
            <w:tcW w:w="1884" w:type="dxa"/>
            <w:tcBorders>
              <w:top w:val="single" w:sz="4" w:space="0" w:color="auto"/>
              <w:left w:val="single" w:sz="4" w:space="0" w:color="auto"/>
              <w:bottom w:val="single" w:sz="4" w:space="0" w:color="auto"/>
              <w:right w:val="single" w:sz="4" w:space="0" w:color="auto"/>
            </w:tcBorders>
            <w:vAlign w:val="center"/>
            <w:hideMark/>
          </w:tcPr>
          <w:p w14:paraId="331FC41D" w14:textId="77777777" w:rsidR="007F1BDF" w:rsidRDefault="007F1BDF">
            <w:pPr>
              <w:widowControl/>
              <w:jc w:val="center"/>
              <w:rPr>
                <w:color w:val="000000"/>
                <w:kern w:val="0"/>
                <w:sz w:val="21"/>
                <w:szCs w:val="21"/>
              </w:rPr>
            </w:pPr>
            <w:r>
              <w:rPr>
                <w:rFonts w:hint="eastAsia"/>
                <w:color w:val="000000"/>
                <w:kern w:val="0"/>
                <w:sz w:val="21"/>
                <w:szCs w:val="21"/>
              </w:rPr>
              <w:t>土地平稳正常情况、特定市场条件下的宅基地使用权平均价格，特定市场是指符合政策的集体组织内部流转或有偿退出下形成的市场</w:t>
            </w:r>
          </w:p>
        </w:tc>
        <w:tc>
          <w:tcPr>
            <w:tcW w:w="1742" w:type="dxa"/>
            <w:tcBorders>
              <w:top w:val="single" w:sz="4" w:space="0" w:color="auto"/>
              <w:left w:val="single" w:sz="4" w:space="0" w:color="auto"/>
              <w:bottom w:val="single" w:sz="4" w:space="0" w:color="auto"/>
              <w:right w:val="single" w:sz="4" w:space="0" w:color="auto"/>
            </w:tcBorders>
            <w:vAlign w:val="center"/>
            <w:hideMark/>
          </w:tcPr>
          <w:p w14:paraId="64B35DD5" w14:textId="77777777" w:rsidR="007F1BDF" w:rsidRDefault="007F1BDF">
            <w:pPr>
              <w:widowControl/>
              <w:jc w:val="center"/>
              <w:rPr>
                <w:color w:val="000000"/>
                <w:kern w:val="0"/>
                <w:sz w:val="21"/>
                <w:szCs w:val="21"/>
              </w:rPr>
            </w:pPr>
            <w:r>
              <w:rPr>
                <w:rFonts w:hint="eastAsia"/>
                <w:color w:val="000000"/>
                <w:kern w:val="0"/>
                <w:sz w:val="21"/>
                <w:szCs w:val="21"/>
              </w:rPr>
              <w:t>土地在平稳正常情况、公开竞争市场条件下的出让土地使用权平均价格</w:t>
            </w:r>
          </w:p>
        </w:tc>
        <w:tc>
          <w:tcPr>
            <w:tcW w:w="1939" w:type="dxa"/>
            <w:tcBorders>
              <w:top w:val="single" w:sz="4" w:space="0" w:color="auto"/>
              <w:left w:val="single" w:sz="4" w:space="0" w:color="auto"/>
              <w:bottom w:val="single" w:sz="4" w:space="0" w:color="auto"/>
              <w:right w:val="single" w:sz="4" w:space="0" w:color="auto"/>
            </w:tcBorders>
            <w:vAlign w:val="center"/>
            <w:hideMark/>
          </w:tcPr>
          <w:p w14:paraId="5023914A" w14:textId="77777777" w:rsidR="007F1BDF" w:rsidRDefault="007F1BDF">
            <w:pPr>
              <w:widowControl/>
              <w:jc w:val="center"/>
              <w:rPr>
                <w:color w:val="000000"/>
                <w:kern w:val="0"/>
                <w:sz w:val="21"/>
                <w:szCs w:val="21"/>
              </w:rPr>
            </w:pPr>
            <w:r>
              <w:rPr>
                <w:rFonts w:hint="eastAsia"/>
                <w:color w:val="000000"/>
                <w:kern w:val="0"/>
                <w:sz w:val="21"/>
                <w:szCs w:val="21"/>
              </w:rPr>
              <w:t>土地在平稳正常情况、公开竞争市场条件下的出让土地使用权平均价格</w:t>
            </w:r>
          </w:p>
        </w:tc>
      </w:tr>
      <w:tr w:rsidR="007F1BDF" w14:paraId="0C828097" w14:textId="77777777" w:rsidTr="007F1BDF">
        <w:trPr>
          <w:gridAfter w:val="1"/>
          <w:wAfter w:w="480" w:type="dxa"/>
          <w:trHeight w:val="369"/>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5ECD845C" w14:textId="77777777" w:rsidR="007F1BDF" w:rsidRDefault="007F1BDF">
            <w:pPr>
              <w:widowControl/>
              <w:jc w:val="center"/>
              <w:rPr>
                <w:b/>
                <w:bCs/>
                <w:color w:val="000000"/>
                <w:kern w:val="0"/>
                <w:sz w:val="21"/>
                <w:szCs w:val="21"/>
              </w:rPr>
            </w:pPr>
            <w:r>
              <w:rPr>
                <w:rFonts w:hint="eastAsia"/>
                <w:b/>
                <w:bCs/>
                <w:color w:val="000000"/>
                <w:kern w:val="0"/>
                <w:sz w:val="21"/>
                <w:szCs w:val="21"/>
              </w:rPr>
              <w:t>权利特征</w:t>
            </w:r>
          </w:p>
        </w:tc>
        <w:tc>
          <w:tcPr>
            <w:tcW w:w="1741" w:type="dxa"/>
            <w:tcBorders>
              <w:top w:val="single" w:sz="4" w:space="0" w:color="auto"/>
              <w:left w:val="single" w:sz="4" w:space="0" w:color="auto"/>
              <w:bottom w:val="single" w:sz="4" w:space="0" w:color="auto"/>
              <w:right w:val="single" w:sz="4" w:space="0" w:color="auto"/>
            </w:tcBorders>
            <w:vAlign w:val="center"/>
            <w:hideMark/>
          </w:tcPr>
          <w:p w14:paraId="0D5B9B29" w14:textId="77777777" w:rsidR="007F1BDF" w:rsidRDefault="007F1BDF">
            <w:pPr>
              <w:widowControl/>
              <w:jc w:val="center"/>
              <w:rPr>
                <w:color w:val="000000"/>
                <w:kern w:val="0"/>
                <w:sz w:val="21"/>
                <w:szCs w:val="21"/>
              </w:rPr>
            </w:pPr>
            <w:r>
              <w:rPr>
                <w:rFonts w:hint="eastAsia"/>
                <w:color w:val="000000"/>
                <w:kern w:val="0"/>
                <w:sz w:val="21"/>
                <w:szCs w:val="21"/>
              </w:rPr>
              <w:t>（</w:t>
            </w:r>
            <w:r>
              <w:rPr>
                <w:color w:val="000000"/>
                <w:kern w:val="0"/>
                <w:sz w:val="21"/>
                <w:szCs w:val="21"/>
              </w:rPr>
              <w:t>1</w:t>
            </w:r>
            <w:r>
              <w:rPr>
                <w:rFonts w:hint="eastAsia"/>
                <w:color w:val="000000"/>
                <w:kern w:val="0"/>
                <w:sz w:val="21"/>
                <w:szCs w:val="21"/>
              </w:rPr>
              <w:t>）土地限制分割处分；（</w:t>
            </w:r>
            <w:r>
              <w:rPr>
                <w:color w:val="000000"/>
                <w:kern w:val="0"/>
                <w:sz w:val="21"/>
                <w:szCs w:val="21"/>
              </w:rPr>
              <w:t>2</w:t>
            </w:r>
            <w:r>
              <w:rPr>
                <w:rFonts w:hint="eastAsia"/>
                <w:color w:val="000000"/>
                <w:kern w:val="0"/>
                <w:sz w:val="21"/>
                <w:szCs w:val="21"/>
              </w:rPr>
              <w:t>）无抵押、地役权等他项权利的限制。</w:t>
            </w:r>
          </w:p>
        </w:tc>
        <w:tc>
          <w:tcPr>
            <w:tcW w:w="1884" w:type="dxa"/>
            <w:tcBorders>
              <w:top w:val="single" w:sz="4" w:space="0" w:color="auto"/>
              <w:left w:val="single" w:sz="4" w:space="0" w:color="auto"/>
              <w:bottom w:val="single" w:sz="4" w:space="0" w:color="auto"/>
              <w:right w:val="single" w:sz="4" w:space="0" w:color="auto"/>
            </w:tcBorders>
            <w:vAlign w:val="center"/>
            <w:hideMark/>
          </w:tcPr>
          <w:p w14:paraId="0E5C304A" w14:textId="77777777" w:rsidR="007F1BDF" w:rsidRDefault="007F1BDF">
            <w:pPr>
              <w:widowControl/>
              <w:jc w:val="center"/>
              <w:rPr>
                <w:color w:val="000000"/>
                <w:kern w:val="0"/>
                <w:sz w:val="21"/>
                <w:szCs w:val="21"/>
              </w:rPr>
            </w:pPr>
            <w:r>
              <w:rPr>
                <w:rFonts w:hint="eastAsia"/>
                <w:color w:val="000000"/>
                <w:kern w:val="0"/>
                <w:sz w:val="21"/>
                <w:szCs w:val="21"/>
              </w:rPr>
              <w:t>（</w:t>
            </w:r>
            <w:r>
              <w:rPr>
                <w:color w:val="000000"/>
                <w:kern w:val="0"/>
                <w:sz w:val="21"/>
                <w:szCs w:val="21"/>
              </w:rPr>
              <w:t>1</w:t>
            </w:r>
            <w:r>
              <w:rPr>
                <w:rFonts w:hint="eastAsia"/>
                <w:color w:val="000000"/>
                <w:kern w:val="0"/>
                <w:sz w:val="21"/>
                <w:szCs w:val="21"/>
              </w:rPr>
              <w:t>）土地限制分割处分且有转让流转条件限制；（</w:t>
            </w:r>
            <w:r>
              <w:rPr>
                <w:color w:val="000000"/>
                <w:kern w:val="0"/>
                <w:sz w:val="21"/>
                <w:szCs w:val="21"/>
              </w:rPr>
              <w:t>2</w:t>
            </w:r>
            <w:r>
              <w:rPr>
                <w:rFonts w:hint="eastAsia"/>
                <w:color w:val="000000"/>
                <w:kern w:val="0"/>
                <w:sz w:val="21"/>
                <w:szCs w:val="21"/>
              </w:rPr>
              <w:t>）除不可抵押外，无地役权等他项权利的限制。</w:t>
            </w:r>
          </w:p>
        </w:tc>
        <w:tc>
          <w:tcPr>
            <w:tcW w:w="1742" w:type="dxa"/>
            <w:tcBorders>
              <w:top w:val="single" w:sz="4" w:space="0" w:color="auto"/>
              <w:left w:val="single" w:sz="4" w:space="0" w:color="auto"/>
              <w:bottom w:val="single" w:sz="4" w:space="0" w:color="auto"/>
              <w:right w:val="single" w:sz="4" w:space="0" w:color="auto"/>
            </w:tcBorders>
            <w:vAlign w:val="center"/>
            <w:hideMark/>
          </w:tcPr>
          <w:p w14:paraId="01B549CC" w14:textId="77777777" w:rsidR="007F1BDF" w:rsidRDefault="007F1BDF">
            <w:pPr>
              <w:widowControl/>
              <w:jc w:val="center"/>
              <w:rPr>
                <w:color w:val="000000"/>
                <w:kern w:val="0"/>
                <w:sz w:val="21"/>
                <w:szCs w:val="21"/>
              </w:rPr>
            </w:pPr>
            <w:r>
              <w:rPr>
                <w:rFonts w:hint="eastAsia"/>
                <w:color w:val="000000"/>
                <w:kern w:val="0"/>
                <w:sz w:val="21"/>
                <w:szCs w:val="21"/>
              </w:rPr>
              <w:t>（</w:t>
            </w:r>
            <w:r>
              <w:rPr>
                <w:color w:val="000000"/>
                <w:kern w:val="0"/>
                <w:sz w:val="21"/>
                <w:szCs w:val="21"/>
              </w:rPr>
              <w:t>1</w:t>
            </w:r>
            <w:r>
              <w:rPr>
                <w:rFonts w:hint="eastAsia"/>
                <w:color w:val="000000"/>
                <w:kern w:val="0"/>
                <w:sz w:val="21"/>
                <w:szCs w:val="21"/>
              </w:rPr>
              <w:t>）土地限制分割处分；（</w:t>
            </w:r>
            <w:r>
              <w:rPr>
                <w:color w:val="000000"/>
                <w:kern w:val="0"/>
                <w:sz w:val="21"/>
                <w:szCs w:val="21"/>
              </w:rPr>
              <w:t>2</w:t>
            </w:r>
            <w:r>
              <w:rPr>
                <w:rFonts w:hint="eastAsia"/>
                <w:color w:val="000000"/>
                <w:kern w:val="0"/>
                <w:sz w:val="21"/>
                <w:szCs w:val="21"/>
              </w:rPr>
              <w:t>）无抵押、地役权等他项权利的限制。</w:t>
            </w:r>
          </w:p>
        </w:tc>
        <w:tc>
          <w:tcPr>
            <w:tcW w:w="1939" w:type="dxa"/>
            <w:tcBorders>
              <w:top w:val="single" w:sz="4" w:space="0" w:color="auto"/>
              <w:left w:val="single" w:sz="4" w:space="0" w:color="auto"/>
              <w:bottom w:val="single" w:sz="4" w:space="0" w:color="auto"/>
              <w:right w:val="single" w:sz="4" w:space="0" w:color="auto"/>
            </w:tcBorders>
            <w:vAlign w:val="center"/>
            <w:hideMark/>
          </w:tcPr>
          <w:p w14:paraId="22DCD274" w14:textId="77777777" w:rsidR="007F1BDF" w:rsidRDefault="007F1BDF">
            <w:pPr>
              <w:widowControl/>
              <w:jc w:val="center"/>
              <w:rPr>
                <w:color w:val="000000"/>
                <w:kern w:val="0"/>
                <w:sz w:val="21"/>
                <w:szCs w:val="21"/>
              </w:rPr>
            </w:pPr>
            <w:r>
              <w:rPr>
                <w:rFonts w:hint="eastAsia"/>
                <w:color w:val="000000"/>
                <w:kern w:val="0"/>
                <w:sz w:val="21"/>
                <w:szCs w:val="21"/>
              </w:rPr>
              <w:t>（</w:t>
            </w:r>
            <w:r>
              <w:rPr>
                <w:color w:val="000000"/>
                <w:kern w:val="0"/>
                <w:sz w:val="21"/>
                <w:szCs w:val="21"/>
              </w:rPr>
              <w:t>1</w:t>
            </w:r>
            <w:r>
              <w:rPr>
                <w:rFonts w:hint="eastAsia"/>
                <w:color w:val="000000"/>
                <w:kern w:val="0"/>
                <w:sz w:val="21"/>
                <w:szCs w:val="21"/>
              </w:rPr>
              <w:t>）土地限制分割处分；（</w:t>
            </w:r>
            <w:r>
              <w:rPr>
                <w:color w:val="000000"/>
                <w:kern w:val="0"/>
                <w:sz w:val="21"/>
                <w:szCs w:val="21"/>
              </w:rPr>
              <w:t>2</w:t>
            </w:r>
            <w:r>
              <w:rPr>
                <w:rFonts w:hint="eastAsia"/>
                <w:color w:val="000000"/>
                <w:kern w:val="0"/>
                <w:sz w:val="21"/>
                <w:szCs w:val="21"/>
              </w:rPr>
              <w:t>）无抵押、地役权等他项权利的限制。</w:t>
            </w:r>
          </w:p>
        </w:tc>
      </w:tr>
      <w:tr w:rsidR="007F1BDF" w14:paraId="10415F57" w14:textId="77777777" w:rsidTr="007F1BDF">
        <w:trPr>
          <w:gridAfter w:val="1"/>
          <w:wAfter w:w="480" w:type="dxa"/>
          <w:trHeight w:val="369"/>
          <w:jc w:val="center"/>
        </w:trPr>
        <w:tc>
          <w:tcPr>
            <w:tcW w:w="1414" w:type="dxa"/>
            <w:vMerge w:val="restart"/>
            <w:tcBorders>
              <w:top w:val="single" w:sz="4" w:space="0" w:color="auto"/>
              <w:left w:val="single" w:sz="4" w:space="0" w:color="auto"/>
              <w:bottom w:val="single" w:sz="4" w:space="0" w:color="auto"/>
              <w:right w:val="single" w:sz="4" w:space="0" w:color="auto"/>
            </w:tcBorders>
            <w:vAlign w:val="center"/>
            <w:hideMark/>
          </w:tcPr>
          <w:p w14:paraId="058BE02C" w14:textId="77777777" w:rsidR="007F1BDF" w:rsidRDefault="007F1BDF">
            <w:pPr>
              <w:widowControl/>
              <w:jc w:val="center"/>
              <w:rPr>
                <w:b/>
                <w:bCs/>
                <w:color w:val="000000"/>
                <w:kern w:val="0"/>
                <w:sz w:val="21"/>
                <w:szCs w:val="21"/>
              </w:rPr>
            </w:pPr>
            <w:r>
              <w:rPr>
                <w:rFonts w:hint="eastAsia"/>
                <w:b/>
                <w:bCs/>
                <w:color w:val="000000"/>
                <w:kern w:val="0"/>
                <w:sz w:val="21"/>
                <w:szCs w:val="21"/>
              </w:rPr>
              <w:t>备注</w:t>
            </w:r>
          </w:p>
        </w:tc>
        <w:tc>
          <w:tcPr>
            <w:tcW w:w="7306"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223BE1E" w14:textId="77777777" w:rsidR="007F1BDF" w:rsidRDefault="007F1BDF">
            <w:pPr>
              <w:widowControl/>
              <w:jc w:val="left"/>
              <w:rPr>
                <w:kern w:val="0"/>
                <w:sz w:val="24"/>
                <w:szCs w:val="24"/>
              </w:rPr>
            </w:pPr>
            <w:r>
              <w:rPr>
                <w:rFonts w:hint="eastAsia"/>
                <w:color w:val="000000"/>
                <w:kern w:val="0"/>
                <w:sz w:val="21"/>
                <w:szCs w:val="21"/>
              </w:rPr>
              <w:t>（</w:t>
            </w:r>
            <w:r>
              <w:rPr>
                <w:color w:val="000000"/>
                <w:kern w:val="0"/>
                <w:sz w:val="21"/>
                <w:szCs w:val="21"/>
              </w:rPr>
              <w:t>1</w:t>
            </w:r>
            <w:r>
              <w:rPr>
                <w:rFonts w:hint="eastAsia"/>
                <w:color w:val="000000"/>
                <w:kern w:val="0"/>
                <w:sz w:val="21"/>
                <w:szCs w:val="21"/>
              </w:rPr>
              <w:t>）土地开发程度为“五通一平”，即宗地红线外通路、通上水、通下水、通电、通讯，宗地红线内场地平整；</w:t>
            </w:r>
            <w:r>
              <w:rPr>
                <w:color w:val="000000"/>
                <w:kern w:val="0"/>
                <w:sz w:val="21"/>
                <w:szCs w:val="21"/>
              </w:rPr>
              <w:br/>
            </w:r>
            <w:r>
              <w:rPr>
                <w:rFonts w:hint="eastAsia"/>
                <w:color w:val="000000"/>
                <w:kern w:val="0"/>
                <w:sz w:val="21"/>
                <w:szCs w:val="21"/>
              </w:rPr>
              <w:t>（</w:t>
            </w:r>
            <w:r>
              <w:rPr>
                <w:color w:val="000000"/>
                <w:kern w:val="0"/>
                <w:sz w:val="21"/>
                <w:szCs w:val="21"/>
              </w:rPr>
              <w:t>2</w:t>
            </w:r>
            <w:r>
              <w:rPr>
                <w:rFonts w:hint="eastAsia"/>
                <w:color w:val="000000"/>
                <w:kern w:val="0"/>
                <w:sz w:val="21"/>
                <w:szCs w:val="21"/>
              </w:rPr>
              <w:t>）各用途集体建设用地的使用权平均价格为设定内涵条件下各级别的平均价格，非现状条件下的价格；</w:t>
            </w:r>
            <w:r>
              <w:rPr>
                <w:color w:val="000000"/>
                <w:kern w:val="0"/>
                <w:sz w:val="21"/>
                <w:szCs w:val="21"/>
              </w:rPr>
              <w:br/>
            </w:r>
            <w:r>
              <w:rPr>
                <w:rFonts w:hint="eastAsia"/>
                <w:color w:val="000000"/>
                <w:kern w:val="0"/>
                <w:sz w:val="21"/>
                <w:szCs w:val="21"/>
              </w:rPr>
              <w:t>（</w:t>
            </w:r>
            <w:r>
              <w:rPr>
                <w:color w:val="000000"/>
                <w:kern w:val="0"/>
                <w:sz w:val="21"/>
                <w:szCs w:val="21"/>
              </w:rPr>
              <w:t>3</w:t>
            </w:r>
            <w:r>
              <w:rPr>
                <w:rFonts w:hint="eastAsia"/>
                <w:color w:val="000000"/>
                <w:kern w:val="0"/>
                <w:sz w:val="21"/>
                <w:szCs w:val="21"/>
              </w:rPr>
              <w:t>）根据</w:t>
            </w:r>
            <w:r>
              <w:rPr>
                <w:color w:val="000000"/>
                <w:kern w:val="0"/>
                <w:sz w:val="21"/>
                <w:szCs w:val="21"/>
              </w:rPr>
              <w:t>2020</w:t>
            </w:r>
            <w:r>
              <w:rPr>
                <w:rFonts w:hint="eastAsia"/>
                <w:color w:val="000000"/>
                <w:kern w:val="0"/>
                <w:sz w:val="21"/>
                <w:szCs w:val="21"/>
              </w:rPr>
              <w:t>年印发的《关于加强农村住宅建设管理的实施意见》及征询相关农村规划报建部门，宅基地设定容积率是按照目前广州市农村自建房报建最大建筑面积</w:t>
            </w:r>
            <w:r>
              <w:rPr>
                <w:color w:val="000000"/>
                <w:kern w:val="0"/>
                <w:sz w:val="21"/>
                <w:szCs w:val="21"/>
              </w:rPr>
              <w:t>280</w:t>
            </w:r>
            <w:r>
              <w:rPr>
                <w:rFonts w:hint="eastAsia"/>
                <w:color w:val="000000"/>
                <w:kern w:val="0"/>
                <w:sz w:val="21"/>
                <w:szCs w:val="21"/>
              </w:rPr>
              <w:t>平方米，最大用地面积</w:t>
            </w:r>
            <w:r>
              <w:rPr>
                <w:color w:val="000000"/>
                <w:kern w:val="0"/>
                <w:sz w:val="21"/>
                <w:szCs w:val="21"/>
              </w:rPr>
              <w:t>120</w:t>
            </w:r>
            <w:r>
              <w:rPr>
                <w:rFonts w:hint="eastAsia"/>
                <w:color w:val="000000"/>
                <w:kern w:val="0"/>
                <w:sz w:val="21"/>
                <w:szCs w:val="21"/>
              </w:rPr>
              <w:t>平方米，最大建筑基底面积</w:t>
            </w:r>
            <w:r>
              <w:rPr>
                <w:color w:val="000000"/>
                <w:kern w:val="0"/>
                <w:sz w:val="21"/>
                <w:szCs w:val="21"/>
              </w:rPr>
              <w:t>80</w:t>
            </w:r>
            <w:r>
              <w:rPr>
                <w:rFonts w:hint="eastAsia"/>
                <w:color w:val="000000"/>
                <w:kern w:val="0"/>
                <w:sz w:val="21"/>
                <w:szCs w:val="21"/>
              </w:rPr>
              <w:t>平方米的要求进行设定。</w:t>
            </w:r>
          </w:p>
        </w:tc>
      </w:tr>
      <w:tr w:rsidR="007F1BDF" w14:paraId="55F76CF3" w14:textId="77777777" w:rsidTr="007F1BDF">
        <w:trPr>
          <w:trHeight w:val="369"/>
          <w:jc w:val="center"/>
        </w:trPr>
        <w:tc>
          <w:tcPr>
            <w:tcW w:w="1414" w:type="dxa"/>
            <w:vMerge/>
            <w:tcBorders>
              <w:top w:val="single" w:sz="4" w:space="0" w:color="auto"/>
              <w:left w:val="single" w:sz="4" w:space="0" w:color="auto"/>
              <w:bottom w:val="single" w:sz="4" w:space="0" w:color="auto"/>
              <w:right w:val="single" w:sz="4" w:space="0" w:color="auto"/>
            </w:tcBorders>
            <w:vAlign w:val="center"/>
            <w:hideMark/>
          </w:tcPr>
          <w:p w14:paraId="36F3494C" w14:textId="77777777" w:rsidR="007F1BDF" w:rsidRDefault="007F1BDF">
            <w:pPr>
              <w:widowControl/>
              <w:jc w:val="left"/>
              <w:rPr>
                <w:b/>
                <w:bCs/>
                <w:color w:val="000000"/>
                <w:kern w:val="0"/>
                <w:sz w:val="21"/>
                <w:szCs w:val="21"/>
              </w:rPr>
            </w:pPr>
          </w:p>
        </w:tc>
        <w:tc>
          <w:tcPr>
            <w:tcW w:w="14613" w:type="dxa"/>
            <w:gridSpan w:val="4"/>
            <w:vMerge/>
            <w:tcBorders>
              <w:top w:val="single" w:sz="4" w:space="0" w:color="auto"/>
              <w:left w:val="single" w:sz="4" w:space="0" w:color="auto"/>
              <w:bottom w:val="single" w:sz="4" w:space="0" w:color="auto"/>
              <w:right w:val="single" w:sz="4" w:space="0" w:color="auto"/>
            </w:tcBorders>
            <w:vAlign w:val="center"/>
            <w:hideMark/>
          </w:tcPr>
          <w:p w14:paraId="2E4FC765" w14:textId="77777777" w:rsidR="007F1BDF" w:rsidRDefault="007F1BDF">
            <w:pPr>
              <w:widowControl/>
              <w:jc w:val="left"/>
              <w:rPr>
                <w:kern w:val="0"/>
                <w:sz w:val="24"/>
                <w:szCs w:val="24"/>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45A13EEA" w14:textId="77777777" w:rsidR="007F1BDF" w:rsidRDefault="007F1BDF">
            <w:pPr>
              <w:rPr>
                <w:kern w:val="0"/>
                <w:sz w:val="24"/>
                <w:szCs w:val="24"/>
              </w:rPr>
            </w:pPr>
          </w:p>
        </w:tc>
      </w:tr>
    </w:tbl>
    <w:p w14:paraId="101B8D3B" w14:textId="77777777" w:rsidR="007F1BDF" w:rsidRDefault="007F1BDF" w:rsidP="007F1BDF">
      <w:pPr>
        <w:ind w:firstLineChars="200" w:firstLine="640"/>
        <w:rPr>
          <w:rFonts w:ascii="仿宋_GB2312"/>
        </w:rPr>
      </w:pPr>
      <w:r>
        <w:rPr>
          <w:rFonts w:ascii="仿宋_GB2312" w:hint="eastAsia"/>
        </w:rPr>
        <w:t>三、本次集体建设用地基准地价的估价期日为2020年1月1日。</w:t>
      </w:r>
    </w:p>
    <w:p w14:paraId="0C05D9F1" w14:textId="77777777" w:rsidR="007F1BDF" w:rsidRDefault="007F1BDF" w:rsidP="007F1BDF">
      <w:pPr>
        <w:ind w:firstLineChars="200" w:firstLine="640"/>
        <w:rPr>
          <w:rFonts w:ascii="仿宋_GB2312" w:hint="eastAsia"/>
        </w:rPr>
      </w:pPr>
      <w:r>
        <w:rPr>
          <w:rFonts w:ascii="仿宋_GB2312" w:hint="eastAsia"/>
        </w:rPr>
        <w:t>四、集体建设用地基准地价土地用途划分为集体商服用地、集体住宅用地（宅基地和集体租赁住房用地）、集体工业</w:t>
      </w:r>
      <w:r>
        <w:rPr>
          <w:rFonts w:ascii="仿宋_GB2312" w:hint="eastAsia"/>
        </w:rPr>
        <w:lastRenderedPageBreak/>
        <w:t>用地三大用途。</w:t>
      </w:r>
    </w:p>
    <w:p w14:paraId="5786AD4B" w14:textId="77777777" w:rsidR="007F1BDF" w:rsidRDefault="007F1BDF" w:rsidP="007F1BDF">
      <w:pPr>
        <w:ind w:firstLineChars="200" w:firstLine="640"/>
        <w:rPr>
          <w:rFonts w:ascii="仿宋_GB2312" w:hint="eastAsia"/>
        </w:rPr>
      </w:pPr>
      <w:r>
        <w:rPr>
          <w:rFonts w:ascii="仿宋_GB2312" w:hint="eastAsia"/>
        </w:rPr>
        <w:t>五、集体办公用地基准地价标准按照所在区域集体商服用地基准地价的35%确定，修正后为平均楼面地价。</w:t>
      </w:r>
    </w:p>
    <w:p w14:paraId="64B2FFAB" w14:textId="77777777" w:rsidR="007F1BDF" w:rsidRDefault="007F1BDF" w:rsidP="007F1BDF">
      <w:pPr>
        <w:ind w:firstLineChars="200" w:firstLine="640"/>
        <w:rPr>
          <w:rFonts w:ascii="仿宋_GB2312" w:hint="eastAsia"/>
        </w:rPr>
      </w:pPr>
      <w:r>
        <w:rPr>
          <w:rFonts w:ascii="仿宋_GB2312" w:hint="eastAsia"/>
        </w:rPr>
        <w:t>六、集体建设用地基准地价采用土地级别图和土地区片图予以表示并公布。</w:t>
      </w:r>
    </w:p>
    <w:p w14:paraId="420732C4" w14:textId="77777777" w:rsidR="007F1BDF" w:rsidRDefault="007F1BDF" w:rsidP="007F1BDF">
      <w:pPr>
        <w:ind w:firstLineChars="200" w:firstLine="640"/>
        <w:rPr>
          <w:rFonts w:ascii="仿宋_GB2312" w:hint="eastAsia"/>
        </w:rPr>
      </w:pPr>
      <w:r>
        <w:rPr>
          <w:rFonts w:ascii="仿宋_GB2312" w:hint="eastAsia"/>
        </w:rPr>
        <w:t>七、广州市规划和自然资源局将根据土地市场的变化情况对集体建设用地基准地价进行更新修订，经市政府批准后，对外公布。</w:t>
      </w:r>
    </w:p>
    <w:p w14:paraId="29335568" w14:textId="77777777" w:rsidR="007F1BDF" w:rsidRDefault="007F1BDF" w:rsidP="007F1BDF">
      <w:pPr>
        <w:ind w:firstLineChars="200" w:firstLine="640"/>
        <w:rPr>
          <w:rFonts w:ascii="仿宋_GB2312" w:hint="eastAsia"/>
        </w:rPr>
      </w:pPr>
    </w:p>
    <w:p w14:paraId="344FAFFA" w14:textId="77777777" w:rsidR="001E6C65" w:rsidRPr="007F1BDF" w:rsidRDefault="001E6C65"/>
    <w:sectPr w:rsidR="001E6C65" w:rsidRPr="007F1B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1E5DE3" w14:textId="77777777" w:rsidR="00A023DB" w:rsidRDefault="00A023DB" w:rsidP="007F1BDF">
      <w:r>
        <w:separator/>
      </w:r>
    </w:p>
  </w:endnote>
  <w:endnote w:type="continuationSeparator" w:id="0">
    <w:p w14:paraId="05C741B4" w14:textId="77777777" w:rsidR="00A023DB" w:rsidRDefault="00A023DB" w:rsidP="007F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方正小标宋简体">
    <w:altName w:val="微软雅黑"/>
    <w:charset w:val="86"/>
    <w:family w:val="script"/>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7C1A7" w14:textId="77777777" w:rsidR="00A023DB" w:rsidRDefault="00A023DB" w:rsidP="007F1BDF">
      <w:r>
        <w:separator/>
      </w:r>
    </w:p>
  </w:footnote>
  <w:footnote w:type="continuationSeparator" w:id="0">
    <w:p w14:paraId="30EECB1C" w14:textId="77777777" w:rsidR="00A023DB" w:rsidRDefault="00A023DB" w:rsidP="007F1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E"/>
    <w:multiLevelType w:val="multilevel"/>
    <w:tmpl w:val="0000000E"/>
    <w:lvl w:ilvl="0">
      <w:start w:val="1"/>
      <w:numFmt w:val="chineseCountingThousand"/>
      <w:pStyle w:val="1"/>
      <w:suff w:val="nothing"/>
      <w:lvlText w:val="第%1节"/>
      <w:lvlJc w:val="left"/>
      <w:pPr>
        <w:ind w:left="0" w:firstLine="0"/>
      </w:pPr>
      <w:rPr>
        <w:rFonts w:cs="Times New Roman"/>
      </w:rPr>
    </w:lvl>
    <w:lvl w:ilvl="1">
      <w:start w:val="1"/>
      <w:numFmt w:val="none"/>
      <w:pStyle w:val="2"/>
      <w:suff w:val="nothing"/>
      <w:lvlText w:val=""/>
      <w:lvlJc w:val="left"/>
      <w:pPr>
        <w:ind w:left="0" w:firstLine="0"/>
      </w:pPr>
      <w:rPr>
        <w:rFonts w:cs="Times New Roman"/>
      </w:rPr>
    </w:lvl>
    <w:lvl w:ilvl="2">
      <w:start w:val="1"/>
      <w:numFmt w:val="chineseCountingThousand"/>
      <w:pStyle w:val="3"/>
      <w:suff w:val="nothing"/>
      <w:lvlText w:val="%3、"/>
      <w:lvlJc w:val="left"/>
      <w:pPr>
        <w:ind w:left="900" w:hanging="900"/>
      </w:pPr>
      <w:rPr>
        <w:rFonts w:cs="Times New Roman"/>
      </w:rPr>
    </w:lvl>
    <w:lvl w:ilvl="3">
      <w:start w:val="1"/>
      <w:numFmt w:val="chineseCountingThousand"/>
      <w:pStyle w:val="4"/>
      <w:suff w:val="nothing"/>
      <w:lvlText w:val="（%4）"/>
      <w:lvlJc w:val="left"/>
      <w:pPr>
        <w:ind w:left="180" w:firstLine="0"/>
      </w:pPr>
      <w:rPr>
        <w:rFonts w:cs="Times New Roman"/>
      </w:rPr>
    </w:lvl>
    <w:lvl w:ilvl="4">
      <w:start w:val="1"/>
      <w:numFmt w:val="decimal"/>
      <w:pStyle w:val="5"/>
      <w:suff w:val="nothing"/>
      <w:lvlText w:val="%5、"/>
      <w:lvlJc w:val="left"/>
      <w:pPr>
        <w:ind w:left="446" w:hanging="446"/>
      </w:pPr>
      <w:rPr>
        <w:rFonts w:cs="Times New Roman"/>
      </w:rPr>
    </w:lvl>
    <w:lvl w:ilvl="5">
      <w:start w:val="1"/>
      <w:numFmt w:val="none"/>
      <w:pStyle w:val="6"/>
      <w:suff w:val="nothing"/>
      <w:lvlText w:val=""/>
      <w:lvlJc w:val="left"/>
      <w:pPr>
        <w:ind w:left="0" w:firstLine="0"/>
      </w:pPr>
      <w:rPr>
        <w:rFonts w:cs="Times New Roman"/>
      </w:rPr>
    </w:lvl>
    <w:lvl w:ilvl="6">
      <w:start w:val="1"/>
      <w:numFmt w:val="none"/>
      <w:pStyle w:val="7"/>
      <w:suff w:val="nothing"/>
      <w:lvlText w:val=""/>
      <w:lvlJc w:val="left"/>
      <w:pPr>
        <w:ind w:left="0" w:firstLine="0"/>
      </w:pPr>
      <w:rPr>
        <w:rFonts w:cs="Times New Roman"/>
      </w:rPr>
    </w:lvl>
    <w:lvl w:ilvl="7">
      <w:start w:val="1"/>
      <w:numFmt w:val="none"/>
      <w:pStyle w:val="8"/>
      <w:suff w:val="nothing"/>
      <w:lvlText w:val=""/>
      <w:lvlJc w:val="left"/>
      <w:pPr>
        <w:ind w:left="0" w:firstLine="0"/>
      </w:pPr>
      <w:rPr>
        <w:rFonts w:cs="Times New Roman"/>
      </w:rPr>
    </w:lvl>
    <w:lvl w:ilvl="8">
      <w:start w:val="1"/>
      <w:numFmt w:val="none"/>
      <w:pStyle w:val="9"/>
      <w:suff w:val="nothing"/>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C65"/>
    <w:rsid w:val="001E6C65"/>
    <w:rsid w:val="007F1BDF"/>
    <w:rsid w:val="00A02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434320-EB8B-4D0E-B601-D29A4D544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F1BDF"/>
    <w:pPr>
      <w:widowControl w:val="0"/>
      <w:jc w:val="both"/>
    </w:pPr>
    <w:rPr>
      <w:rFonts w:ascii="Times New Roman" w:eastAsia="仿宋_GB2312" w:hAnsi="Times New Roman" w:cs="Times New Roman"/>
      <w:sz w:val="32"/>
      <w:szCs w:val="32"/>
    </w:rPr>
  </w:style>
  <w:style w:type="paragraph" w:styleId="1">
    <w:name w:val="heading 1"/>
    <w:basedOn w:val="2"/>
    <w:next w:val="a"/>
    <w:link w:val="10"/>
    <w:qFormat/>
    <w:rsid w:val="007F1BDF"/>
    <w:pPr>
      <w:numPr>
        <w:ilvl w:val="0"/>
      </w:numPr>
      <w:adjustRightInd w:val="0"/>
      <w:spacing w:beforeLines="100" w:afterLines="50" w:line="360" w:lineRule="auto"/>
      <w:ind w:left="900" w:hanging="900"/>
      <w:jc w:val="center"/>
      <w:outlineLvl w:val="0"/>
    </w:pPr>
    <w:rPr>
      <w:rFonts w:hAnsi="华文宋体"/>
      <w:kern w:val="48"/>
      <w:sz w:val="36"/>
      <w:szCs w:val="36"/>
    </w:rPr>
  </w:style>
  <w:style w:type="paragraph" w:styleId="2">
    <w:name w:val="heading 2"/>
    <w:basedOn w:val="3"/>
    <w:next w:val="a"/>
    <w:link w:val="20"/>
    <w:semiHidden/>
    <w:unhideWhenUsed/>
    <w:qFormat/>
    <w:rsid w:val="007F1BDF"/>
    <w:pPr>
      <w:numPr>
        <w:ilvl w:val="1"/>
      </w:numPr>
      <w:spacing w:beforeLines="30" w:before="0" w:afterLines="30" w:after="0" w:line="240" w:lineRule="auto"/>
      <w:ind w:left="900" w:hanging="900"/>
      <w:outlineLvl w:val="1"/>
    </w:pPr>
    <w:rPr>
      <w:rFonts w:ascii="黑体" w:eastAsia="黑体"/>
      <w:szCs w:val="30"/>
    </w:rPr>
  </w:style>
  <w:style w:type="paragraph" w:styleId="3">
    <w:name w:val="heading 3"/>
    <w:basedOn w:val="a"/>
    <w:next w:val="a"/>
    <w:link w:val="30"/>
    <w:semiHidden/>
    <w:unhideWhenUsed/>
    <w:qFormat/>
    <w:rsid w:val="007F1BDF"/>
    <w:pPr>
      <w:keepNext/>
      <w:keepLines/>
      <w:numPr>
        <w:ilvl w:val="2"/>
        <w:numId w:val="1"/>
      </w:numPr>
      <w:spacing w:before="260" w:after="260" w:line="415" w:lineRule="auto"/>
      <w:outlineLvl w:val="2"/>
    </w:pPr>
    <w:rPr>
      <w:rFonts w:ascii="宋体" w:eastAsia="宋体" w:hAnsi="宋体" w:cs="宋体"/>
      <w:b/>
      <w:bCs/>
      <w:sz w:val="28"/>
    </w:rPr>
  </w:style>
  <w:style w:type="paragraph" w:styleId="4">
    <w:name w:val="heading 4"/>
    <w:basedOn w:val="a"/>
    <w:next w:val="a"/>
    <w:link w:val="40"/>
    <w:semiHidden/>
    <w:unhideWhenUsed/>
    <w:qFormat/>
    <w:rsid w:val="007F1BDF"/>
    <w:pPr>
      <w:keepNext/>
      <w:keepLines/>
      <w:numPr>
        <w:ilvl w:val="3"/>
        <w:numId w:val="1"/>
      </w:numPr>
      <w:spacing w:beforeLines="30" w:afterLines="30" w:line="374" w:lineRule="auto"/>
      <w:ind w:left="360"/>
      <w:outlineLvl w:val="3"/>
    </w:pPr>
    <w:rPr>
      <w:rFonts w:ascii="Arial" w:eastAsia="黑体" w:hAnsi="Arial"/>
      <w:b/>
      <w:bCs/>
      <w:kern w:val="28"/>
      <w:sz w:val="28"/>
      <w:szCs w:val="28"/>
    </w:rPr>
  </w:style>
  <w:style w:type="paragraph" w:styleId="5">
    <w:name w:val="heading 5"/>
    <w:basedOn w:val="a"/>
    <w:next w:val="a"/>
    <w:link w:val="50"/>
    <w:semiHidden/>
    <w:unhideWhenUsed/>
    <w:qFormat/>
    <w:rsid w:val="007F1BDF"/>
    <w:pPr>
      <w:keepNext/>
      <w:keepLines/>
      <w:numPr>
        <w:ilvl w:val="4"/>
        <w:numId w:val="1"/>
      </w:numPr>
      <w:autoSpaceDE w:val="0"/>
      <w:autoSpaceDN w:val="0"/>
      <w:adjustRightInd w:val="0"/>
      <w:snapToGrid w:val="0"/>
      <w:spacing w:beforeLines="20" w:line="376" w:lineRule="auto"/>
      <w:ind w:left="892"/>
      <w:jc w:val="left"/>
      <w:outlineLvl w:val="4"/>
    </w:pPr>
    <w:rPr>
      <w:rFonts w:ascii="宋体" w:hAnsi="宋体" w:cs="宋体"/>
      <w:b/>
      <w:kern w:val="24"/>
      <w:sz w:val="28"/>
      <w:szCs w:val="20"/>
    </w:rPr>
  </w:style>
  <w:style w:type="paragraph" w:styleId="6">
    <w:name w:val="heading 6"/>
    <w:basedOn w:val="a"/>
    <w:next w:val="a1"/>
    <w:link w:val="60"/>
    <w:semiHidden/>
    <w:unhideWhenUsed/>
    <w:qFormat/>
    <w:rsid w:val="007F1BDF"/>
    <w:pPr>
      <w:keepNext/>
      <w:keepLines/>
      <w:widowControl/>
      <w:numPr>
        <w:ilvl w:val="5"/>
        <w:numId w:val="1"/>
      </w:numPr>
      <w:overflowPunct w:val="0"/>
      <w:autoSpaceDE w:val="0"/>
      <w:autoSpaceDN w:val="0"/>
      <w:adjustRightInd w:val="0"/>
      <w:snapToGrid w:val="0"/>
      <w:spacing w:beforeLines="20" w:line="220" w:lineRule="atLeast"/>
      <w:jc w:val="left"/>
      <w:outlineLvl w:val="5"/>
    </w:pPr>
    <w:rPr>
      <w:rFonts w:ascii="Arial Black" w:eastAsia="宋体" w:hAnsi="Arial Black" w:cs="宋体"/>
      <w:spacing w:val="-5"/>
      <w:kern w:val="20"/>
      <w:sz w:val="18"/>
      <w:szCs w:val="20"/>
    </w:rPr>
  </w:style>
  <w:style w:type="paragraph" w:styleId="7">
    <w:name w:val="heading 7"/>
    <w:basedOn w:val="a"/>
    <w:next w:val="a1"/>
    <w:link w:val="70"/>
    <w:semiHidden/>
    <w:unhideWhenUsed/>
    <w:qFormat/>
    <w:rsid w:val="007F1BDF"/>
    <w:pPr>
      <w:keepNext/>
      <w:keepLines/>
      <w:widowControl/>
      <w:numPr>
        <w:ilvl w:val="6"/>
        <w:numId w:val="1"/>
      </w:numPr>
      <w:overflowPunct w:val="0"/>
      <w:autoSpaceDE w:val="0"/>
      <w:autoSpaceDN w:val="0"/>
      <w:adjustRightInd w:val="0"/>
      <w:snapToGrid w:val="0"/>
      <w:spacing w:beforeLines="20" w:line="220" w:lineRule="atLeast"/>
      <w:jc w:val="left"/>
      <w:outlineLvl w:val="6"/>
    </w:pPr>
    <w:rPr>
      <w:rFonts w:ascii="Arial Black" w:eastAsia="宋体" w:hAnsi="Arial Black"/>
      <w:spacing w:val="-5"/>
      <w:kern w:val="20"/>
      <w:sz w:val="18"/>
      <w:szCs w:val="20"/>
    </w:rPr>
  </w:style>
  <w:style w:type="paragraph" w:styleId="8">
    <w:name w:val="heading 8"/>
    <w:basedOn w:val="a"/>
    <w:next w:val="a1"/>
    <w:link w:val="80"/>
    <w:semiHidden/>
    <w:unhideWhenUsed/>
    <w:qFormat/>
    <w:rsid w:val="007F1BDF"/>
    <w:pPr>
      <w:keepNext/>
      <w:keepLines/>
      <w:widowControl/>
      <w:numPr>
        <w:ilvl w:val="7"/>
        <w:numId w:val="1"/>
      </w:numPr>
      <w:overflowPunct w:val="0"/>
      <w:autoSpaceDE w:val="0"/>
      <w:autoSpaceDN w:val="0"/>
      <w:adjustRightInd w:val="0"/>
      <w:snapToGrid w:val="0"/>
      <w:spacing w:beforeLines="20" w:line="220" w:lineRule="atLeast"/>
      <w:jc w:val="left"/>
      <w:outlineLvl w:val="7"/>
    </w:pPr>
    <w:rPr>
      <w:rFonts w:ascii="Arial Black" w:eastAsia="宋体" w:hAnsi="Arial Black"/>
      <w:spacing w:val="-5"/>
      <w:kern w:val="20"/>
      <w:sz w:val="18"/>
      <w:szCs w:val="20"/>
    </w:rPr>
  </w:style>
  <w:style w:type="paragraph" w:styleId="9">
    <w:name w:val="heading 9"/>
    <w:basedOn w:val="a"/>
    <w:next w:val="a1"/>
    <w:link w:val="90"/>
    <w:semiHidden/>
    <w:unhideWhenUsed/>
    <w:qFormat/>
    <w:rsid w:val="007F1BDF"/>
    <w:pPr>
      <w:keepNext/>
      <w:keepLines/>
      <w:widowControl/>
      <w:numPr>
        <w:ilvl w:val="8"/>
        <w:numId w:val="1"/>
      </w:numPr>
      <w:overflowPunct w:val="0"/>
      <w:autoSpaceDE w:val="0"/>
      <w:autoSpaceDN w:val="0"/>
      <w:adjustRightInd w:val="0"/>
      <w:snapToGrid w:val="0"/>
      <w:spacing w:beforeLines="20" w:line="220" w:lineRule="atLeast"/>
      <w:jc w:val="left"/>
      <w:outlineLvl w:val="8"/>
    </w:pPr>
    <w:rPr>
      <w:rFonts w:ascii="Arial Black" w:eastAsia="宋体" w:hAnsi="Arial Black"/>
      <w:spacing w:val="-5"/>
      <w:kern w:val="20"/>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
    <w:link w:val="a6"/>
    <w:uiPriority w:val="99"/>
    <w:unhideWhenUsed/>
    <w:rsid w:val="007F1BD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2"/>
    <w:link w:val="a5"/>
    <w:uiPriority w:val="99"/>
    <w:rsid w:val="007F1BDF"/>
    <w:rPr>
      <w:sz w:val="18"/>
      <w:szCs w:val="18"/>
    </w:rPr>
  </w:style>
  <w:style w:type="paragraph" w:styleId="a7">
    <w:name w:val="footer"/>
    <w:basedOn w:val="a"/>
    <w:link w:val="a8"/>
    <w:uiPriority w:val="99"/>
    <w:unhideWhenUsed/>
    <w:rsid w:val="007F1BDF"/>
    <w:pPr>
      <w:tabs>
        <w:tab w:val="center" w:pos="4153"/>
        <w:tab w:val="right" w:pos="8306"/>
      </w:tabs>
      <w:snapToGrid w:val="0"/>
      <w:jc w:val="left"/>
    </w:pPr>
    <w:rPr>
      <w:sz w:val="18"/>
      <w:szCs w:val="18"/>
    </w:rPr>
  </w:style>
  <w:style w:type="character" w:customStyle="1" w:styleId="a8">
    <w:name w:val="页脚 字符"/>
    <w:basedOn w:val="a2"/>
    <w:link w:val="a7"/>
    <w:uiPriority w:val="99"/>
    <w:rsid w:val="007F1BDF"/>
    <w:rPr>
      <w:sz w:val="18"/>
      <w:szCs w:val="18"/>
    </w:rPr>
  </w:style>
  <w:style w:type="character" w:customStyle="1" w:styleId="10">
    <w:name w:val="标题 1 字符"/>
    <w:basedOn w:val="a2"/>
    <w:link w:val="1"/>
    <w:qFormat/>
    <w:rsid w:val="007F1BDF"/>
    <w:rPr>
      <w:rFonts w:ascii="黑体" w:eastAsia="黑体" w:hAnsi="华文宋体" w:cs="宋体"/>
      <w:b/>
      <w:bCs/>
      <w:kern w:val="48"/>
      <w:sz w:val="36"/>
      <w:szCs w:val="36"/>
    </w:rPr>
  </w:style>
  <w:style w:type="character" w:customStyle="1" w:styleId="20">
    <w:name w:val="标题 2 字符"/>
    <w:basedOn w:val="a2"/>
    <w:link w:val="2"/>
    <w:semiHidden/>
    <w:rsid w:val="007F1BDF"/>
    <w:rPr>
      <w:rFonts w:ascii="黑体" w:eastAsia="黑体" w:hAnsi="宋体" w:cs="宋体"/>
      <w:b/>
      <w:bCs/>
      <w:sz w:val="28"/>
      <w:szCs w:val="30"/>
    </w:rPr>
  </w:style>
  <w:style w:type="character" w:customStyle="1" w:styleId="30">
    <w:name w:val="标题 3 字符"/>
    <w:basedOn w:val="a2"/>
    <w:link w:val="3"/>
    <w:semiHidden/>
    <w:rsid w:val="007F1BDF"/>
    <w:rPr>
      <w:rFonts w:ascii="宋体" w:eastAsia="宋体" w:hAnsi="宋体" w:cs="宋体"/>
      <w:b/>
      <w:bCs/>
      <w:sz w:val="28"/>
      <w:szCs w:val="32"/>
    </w:rPr>
  </w:style>
  <w:style w:type="character" w:customStyle="1" w:styleId="40">
    <w:name w:val="标题 4 字符"/>
    <w:basedOn w:val="a2"/>
    <w:link w:val="4"/>
    <w:semiHidden/>
    <w:rsid w:val="007F1BDF"/>
    <w:rPr>
      <w:rFonts w:ascii="Arial" w:eastAsia="黑体" w:hAnsi="Arial" w:cs="Times New Roman"/>
      <w:b/>
      <w:bCs/>
      <w:kern w:val="28"/>
      <w:sz w:val="28"/>
      <w:szCs w:val="28"/>
    </w:rPr>
  </w:style>
  <w:style w:type="character" w:customStyle="1" w:styleId="50">
    <w:name w:val="标题 5 字符"/>
    <w:basedOn w:val="a2"/>
    <w:link w:val="5"/>
    <w:semiHidden/>
    <w:rsid w:val="007F1BDF"/>
    <w:rPr>
      <w:rFonts w:ascii="宋体" w:eastAsia="仿宋_GB2312" w:hAnsi="宋体" w:cs="宋体"/>
      <w:b/>
      <w:kern w:val="24"/>
      <w:sz w:val="28"/>
      <w:szCs w:val="20"/>
    </w:rPr>
  </w:style>
  <w:style w:type="character" w:customStyle="1" w:styleId="60">
    <w:name w:val="标题 6 字符"/>
    <w:basedOn w:val="a2"/>
    <w:link w:val="6"/>
    <w:semiHidden/>
    <w:rsid w:val="007F1BDF"/>
    <w:rPr>
      <w:rFonts w:ascii="Arial Black" w:eastAsia="宋体" w:hAnsi="Arial Black" w:cs="宋体"/>
      <w:spacing w:val="-5"/>
      <w:kern w:val="20"/>
      <w:sz w:val="18"/>
      <w:szCs w:val="20"/>
    </w:rPr>
  </w:style>
  <w:style w:type="character" w:customStyle="1" w:styleId="70">
    <w:name w:val="标题 7 字符"/>
    <w:basedOn w:val="a2"/>
    <w:link w:val="7"/>
    <w:semiHidden/>
    <w:rsid w:val="007F1BDF"/>
    <w:rPr>
      <w:rFonts w:ascii="Arial Black" w:eastAsia="宋体" w:hAnsi="Arial Black" w:cs="Times New Roman"/>
      <w:spacing w:val="-5"/>
      <w:kern w:val="20"/>
      <w:sz w:val="18"/>
      <w:szCs w:val="20"/>
    </w:rPr>
  </w:style>
  <w:style w:type="character" w:customStyle="1" w:styleId="80">
    <w:name w:val="标题 8 字符"/>
    <w:basedOn w:val="a2"/>
    <w:link w:val="8"/>
    <w:semiHidden/>
    <w:rsid w:val="007F1BDF"/>
    <w:rPr>
      <w:rFonts w:ascii="Arial Black" w:eastAsia="宋体" w:hAnsi="Arial Black" w:cs="Times New Roman"/>
      <w:spacing w:val="-5"/>
      <w:kern w:val="20"/>
      <w:sz w:val="18"/>
      <w:szCs w:val="20"/>
    </w:rPr>
  </w:style>
  <w:style w:type="character" w:customStyle="1" w:styleId="90">
    <w:name w:val="标题 9 字符"/>
    <w:basedOn w:val="a2"/>
    <w:link w:val="9"/>
    <w:semiHidden/>
    <w:rsid w:val="007F1BDF"/>
    <w:rPr>
      <w:rFonts w:ascii="Arial Black" w:eastAsia="宋体" w:hAnsi="Arial Black" w:cs="Times New Roman"/>
      <w:spacing w:val="-5"/>
      <w:kern w:val="20"/>
      <w:sz w:val="18"/>
      <w:szCs w:val="20"/>
    </w:rPr>
  </w:style>
  <w:style w:type="paragraph" w:styleId="a0">
    <w:name w:val="Normal Indent"/>
    <w:basedOn w:val="a"/>
    <w:uiPriority w:val="99"/>
    <w:semiHidden/>
    <w:unhideWhenUsed/>
    <w:rsid w:val="007F1BDF"/>
    <w:pPr>
      <w:ind w:firstLineChars="200" w:firstLine="420"/>
    </w:pPr>
  </w:style>
  <w:style w:type="paragraph" w:styleId="a1">
    <w:name w:val="Body Text"/>
    <w:basedOn w:val="a"/>
    <w:link w:val="a9"/>
    <w:uiPriority w:val="99"/>
    <w:semiHidden/>
    <w:unhideWhenUsed/>
    <w:rsid w:val="007F1BDF"/>
    <w:pPr>
      <w:spacing w:after="120"/>
    </w:pPr>
  </w:style>
  <w:style w:type="character" w:customStyle="1" w:styleId="a9">
    <w:name w:val="正文文本 字符"/>
    <w:basedOn w:val="a2"/>
    <w:link w:val="a1"/>
    <w:uiPriority w:val="99"/>
    <w:semiHidden/>
    <w:rsid w:val="007F1BDF"/>
    <w:rPr>
      <w:rFonts w:ascii="Times New Roman"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333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202</Words>
  <Characters>1153</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杜凯</dc:creator>
  <cp:keywords/>
  <dc:description/>
  <cp:lastModifiedBy>杜凯</cp:lastModifiedBy>
  <cp:revision>2</cp:revision>
  <dcterms:created xsi:type="dcterms:W3CDTF">2021-03-31T07:40:00Z</dcterms:created>
  <dcterms:modified xsi:type="dcterms:W3CDTF">2021-03-31T07:42:00Z</dcterms:modified>
</cp:coreProperties>
</file>