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方正小标宋简体" w:cs="Times New Roman"/>
          <w:color w:val="000000"/>
          <w:sz w:val="32"/>
          <w:szCs w:val="32"/>
        </w:rPr>
      </w:pPr>
      <w:r>
        <w:rPr>
          <w:rFonts w:hint="eastAsia" w:ascii="Times New Roman" w:hAnsi="Times New Roman" w:eastAsia="方正小标宋简体" w:cs="Times New Roman"/>
          <w:color w:val="000000"/>
          <w:sz w:val="32"/>
          <w:szCs w:val="32"/>
        </w:rPr>
        <w:t>广州市市场监督管理局（瓶装）液化石油气</w:t>
      </w:r>
      <w:r>
        <w:rPr>
          <w:rFonts w:ascii="Times New Roman" w:hAnsi="Times New Roman" w:eastAsia="方正小标宋简体" w:cs="Times New Roman"/>
          <w:color w:val="000000"/>
          <w:sz w:val="32"/>
          <w:szCs w:val="32"/>
        </w:rPr>
        <w:t>产品</w:t>
      </w:r>
    </w:p>
    <w:p>
      <w:pPr>
        <w:adjustRightInd w:val="0"/>
        <w:snapToGrid w:val="0"/>
        <w:spacing w:line="360" w:lineRule="auto"/>
        <w:jc w:val="center"/>
        <w:rPr>
          <w:rFonts w:ascii="Times New Roman" w:hAnsi="Times New Roman" w:eastAsia="方正小标宋简体" w:cs="Times New Roman"/>
          <w:color w:val="000000"/>
          <w:sz w:val="32"/>
          <w:szCs w:val="32"/>
        </w:rPr>
      </w:pPr>
      <w:r>
        <w:rPr>
          <w:rFonts w:ascii="Times New Roman" w:hAnsi="Times New Roman" w:eastAsia="方正小标宋简体" w:cs="Times New Roman"/>
          <w:color w:val="000000"/>
          <w:sz w:val="32"/>
          <w:szCs w:val="32"/>
        </w:rPr>
        <w:t>质量监督抽查实施细则</w:t>
      </w:r>
      <w:bookmarkStart w:id="0" w:name="_GoBack"/>
      <w:bookmarkEnd w:id="0"/>
    </w:p>
    <w:p>
      <w:pPr>
        <w:adjustRightInd w:val="0"/>
        <w:snapToGrid w:val="0"/>
        <w:spacing w:line="360" w:lineRule="auto"/>
        <w:rPr>
          <w:rFonts w:ascii="Times New Roman" w:hAnsi="Times New Roman" w:eastAsia="黑体" w:cs="Times New Roman"/>
          <w:szCs w:val="21"/>
        </w:rPr>
      </w:pPr>
      <w:r>
        <w:rPr>
          <w:rFonts w:ascii="Times New Roman" w:hAnsi="Times New Roman" w:eastAsia="黑体" w:cs="Times New Roman"/>
          <w:szCs w:val="21"/>
        </w:rPr>
        <w:t xml:space="preserve">1 </w:t>
      </w:r>
      <w:r>
        <w:rPr>
          <w:rFonts w:ascii="Times New Roman" w:hAnsi="Times New Roman" w:eastAsia="黑体" w:cs="Times New Roman"/>
          <w:color w:val="000000"/>
          <w:szCs w:val="21"/>
        </w:rPr>
        <w:t>抽样方法</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抽样小组由2名以上（含2名）人员参加。</w:t>
      </w:r>
      <w:r>
        <w:rPr>
          <w:rFonts w:ascii="Times New Roman" w:hAnsi="Times New Roman" w:cs="Times New Roman"/>
          <w:color w:val="000000"/>
          <w:szCs w:val="21"/>
        </w:rPr>
        <w:t>在企业的待销产品中随机抽取有产品质量检验合格证明或者以其他形式表明合格的、近期生产的产品。</w:t>
      </w:r>
    </w:p>
    <w:p>
      <w:pPr>
        <w:adjustRightInd w:val="0"/>
        <w:snapToGrid w:val="0"/>
        <w:spacing w:line="360" w:lineRule="auto"/>
        <w:ind w:firstLine="420" w:firstLineChars="200"/>
        <w:rPr>
          <w:szCs w:val="32"/>
        </w:rPr>
      </w:pPr>
      <w:r>
        <w:rPr>
          <w:rFonts w:hint="eastAsia"/>
          <w:szCs w:val="32"/>
        </w:rPr>
        <w:t>抽样人员从燃气企业或充装企业的储罐或充装台抽样，按SH/T 0233-1992《液化石油气采样法》抽取样本；抽样时从采样口或加气枪取样。抽样人员用事前经过处理干净的4500mL采样钢瓶，在采样口或加气枪处取样。取样时需向钢瓶先灌入待抽查样品至1/3到1/2满，充分摇动钢瓶润洗钢瓶内部，然后排走样品，此步骤重复两次或以上。钢瓶经过润洗方可正式取样。</w:t>
      </w:r>
    </w:p>
    <w:p>
      <w:pPr>
        <w:adjustRightInd w:val="0"/>
        <w:snapToGrid w:val="0"/>
        <w:spacing w:line="360" w:lineRule="auto"/>
        <w:ind w:firstLine="420" w:firstLineChars="200"/>
        <w:rPr>
          <w:szCs w:val="32"/>
        </w:rPr>
      </w:pPr>
      <w:r>
        <w:rPr>
          <w:rFonts w:hint="eastAsia"/>
          <w:szCs w:val="32"/>
        </w:rPr>
        <w:t>抽样人员从燃气充装企业仓储点和燃气企业销售点仓库抽取瓶装液化石油气的，应以随机抽取放置在仓储位置的瓶装液化石油气成品，若抽取的瓶装液化石油气成品体积较大不便运输的，可参考SH/T 0233—1992《液化石油气采样法》，用采样器从钢瓶中取样。</w:t>
      </w:r>
    </w:p>
    <w:p>
      <w:pPr>
        <w:adjustRightInd w:val="0"/>
        <w:snapToGrid w:val="0"/>
        <w:spacing w:line="360" w:lineRule="auto"/>
        <w:ind w:firstLine="420" w:firstLineChars="200"/>
        <w:rPr>
          <w:szCs w:val="32"/>
        </w:rPr>
      </w:pPr>
      <w:r>
        <w:rPr>
          <w:rFonts w:hint="eastAsia"/>
          <w:szCs w:val="32"/>
        </w:rPr>
        <w:t>将抽取的样品密封，贴上样品标签，加封封条。</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每批次产品</w:t>
      </w:r>
      <w:r>
        <w:rPr>
          <w:rFonts w:ascii="Times New Roman" w:hAnsi="Times New Roman" w:cs="Times New Roman"/>
          <w:kern w:val="0"/>
          <w:szCs w:val="21"/>
        </w:rPr>
        <w:t>抽取</w:t>
      </w:r>
      <w:r>
        <w:rPr>
          <w:rFonts w:hint="eastAsia" w:ascii="Times New Roman" w:hAnsi="Times New Roman" w:cs="Times New Roman"/>
          <w:kern w:val="0"/>
          <w:szCs w:val="21"/>
        </w:rPr>
        <w:t>样品2组。用采样瓶抽样时，每组样品4500m</w:t>
      </w:r>
      <w:r>
        <w:rPr>
          <w:rFonts w:ascii="Times New Roman" w:hAnsi="Times New Roman" w:cs="Times New Roman"/>
          <w:kern w:val="0"/>
          <w:szCs w:val="21"/>
        </w:rPr>
        <w:t>L</w:t>
      </w:r>
      <w:r>
        <w:rPr>
          <w:rFonts w:hint="eastAsia" w:ascii="Times New Roman" w:hAnsi="Times New Roman" w:cs="Times New Roman"/>
          <w:kern w:val="0"/>
          <w:szCs w:val="21"/>
        </w:rPr>
        <w:t>/瓶×1瓶。共2瓶；抽取瓶装液化石油气成品时，每组样品5kg/瓶×1瓶。共2瓶。</w:t>
      </w:r>
      <w:r>
        <w:rPr>
          <w:rFonts w:ascii="Times New Roman" w:hAnsi="Times New Roman" w:cs="Times New Roman"/>
          <w:kern w:val="0"/>
          <w:szCs w:val="21"/>
        </w:rPr>
        <w:t>其中</w:t>
      </w:r>
      <w:r>
        <w:rPr>
          <w:rFonts w:hint="eastAsia" w:ascii="Times New Roman" w:hAnsi="Times New Roman" w:cs="Times New Roman"/>
          <w:kern w:val="0"/>
          <w:szCs w:val="21"/>
        </w:rPr>
        <w:t>1组</w:t>
      </w:r>
      <w:r>
        <w:rPr>
          <w:rFonts w:ascii="Times New Roman" w:hAnsi="Times New Roman" w:cs="Times New Roman"/>
          <w:kern w:val="0"/>
          <w:szCs w:val="21"/>
        </w:rPr>
        <w:t>作为检验样品，</w:t>
      </w:r>
      <w:r>
        <w:rPr>
          <w:rFonts w:hint="eastAsia" w:ascii="Times New Roman" w:hAnsi="Times New Roman" w:cs="Times New Roman"/>
          <w:kern w:val="0"/>
          <w:szCs w:val="21"/>
        </w:rPr>
        <w:t>1组</w:t>
      </w:r>
      <w:r>
        <w:rPr>
          <w:rFonts w:ascii="Times New Roman" w:hAnsi="Times New Roman" w:cs="Times New Roman"/>
          <w:kern w:val="0"/>
          <w:szCs w:val="21"/>
        </w:rPr>
        <w:t>作为备用样品。</w:t>
      </w:r>
      <w:r>
        <w:rPr>
          <w:rFonts w:hint="eastAsia" w:ascii="Times New Roman" w:hAnsi="Times New Roman" w:cs="Times New Roman"/>
          <w:kern w:val="0"/>
          <w:szCs w:val="21"/>
        </w:rPr>
        <w:t>样品储于清洁干燥的储运箱中，送至</w:t>
      </w:r>
      <w:r>
        <w:rPr>
          <w:rFonts w:hint="eastAsia"/>
          <w:szCs w:val="32"/>
        </w:rPr>
        <w:t>检验机构</w:t>
      </w:r>
      <w:r>
        <w:rPr>
          <w:rFonts w:hint="eastAsia" w:ascii="Times New Roman" w:hAnsi="Times New Roman" w:cs="Times New Roman"/>
          <w:kern w:val="0"/>
          <w:szCs w:val="21"/>
        </w:rPr>
        <w:t>。</w:t>
      </w:r>
    </w:p>
    <w:p>
      <w:pPr>
        <w:adjustRightInd w:val="0"/>
        <w:snapToGrid w:val="0"/>
        <w:spacing w:line="360" w:lineRule="auto"/>
        <w:rPr>
          <w:rFonts w:ascii="Times New Roman" w:hAnsi="Times New Roman" w:eastAsia="黑体" w:cs="Times New Roman"/>
          <w:color w:val="000000"/>
          <w:szCs w:val="21"/>
        </w:rPr>
      </w:pPr>
    </w:p>
    <w:p>
      <w:pPr>
        <w:adjustRightInd w:val="0"/>
        <w:snapToGrid w:val="0"/>
        <w:spacing w:line="360" w:lineRule="auto"/>
        <w:rPr>
          <w:rFonts w:ascii="Times New Roman" w:hAnsi="Times New Roman" w:eastAsia="黑体" w:cs="Times New Roman"/>
          <w:color w:val="000000"/>
          <w:szCs w:val="21"/>
        </w:rPr>
      </w:pPr>
      <w:r>
        <w:rPr>
          <w:rFonts w:ascii="Times New Roman" w:hAnsi="Times New Roman" w:eastAsia="黑体" w:cs="Times New Roman"/>
          <w:color w:val="000000"/>
          <w:szCs w:val="21"/>
        </w:rPr>
        <w:t>2 检验依据</w:t>
      </w:r>
    </w:p>
    <w:p>
      <w:pPr>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本次抽查检验项目和检验方法依据见表1。</w:t>
      </w:r>
    </w:p>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表1</w:t>
      </w:r>
      <w:r>
        <w:rPr>
          <w:rFonts w:hint="eastAsia" w:ascii="Times New Roman" w:hAnsi="Times New Roman" w:cs="Times New Roman"/>
          <w:color w:val="000000"/>
          <w:szCs w:val="21"/>
        </w:rPr>
        <w:t>抽查</w:t>
      </w:r>
      <w:r>
        <w:rPr>
          <w:rFonts w:ascii="Times New Roman" w:hAnsi="Times New Roman" w:cs="Times New Roman"/>
          <w:color w:val="000000"/>
          <w:szCs w:val="21"/>
        </w:rPr>
        <w:t>检验项目</w:t>
      </w:r>
    </w:p>
    <w:tbl>
      <w:tblPr>
        <w:tblStyle w:val="7"/>
        <w:tblW w:w="96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208"/>
        <w:gridCol w:w="1518"/>
        <w:gridCol w:w="1984"/>
        <w:gridCol w:w="1094"/>
        <w:gridCol w:w="109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694" w:type="dxa"/>
            <w:vMerge w:val="restart"/>
            <w:vAlign w:val="center"/>
          </w:tcPr>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2208" w:type="dxa"/>
            <w:vMerge w:val="restart"/>
            <w:vAlign w:val="center"/>
          </w:tcPr>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检验项目</w:t>
            </w:r>
          </w:p>
        </w:tc>
        <w:tc>
          <w:tcPr>
            <w:tcW w:w="1518" w:type="dxa"/>
            <w:vMerge w:val="restart"/>
            <w:vAlign w:val="center"/>
          </w:tcPr>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检验依据</w:t>
            </w:r>
          </w:p>
        </w:tc>
        <w:tc>
          <w:tcPr>
            <w:tcW w:w="1984" w:type="dxa"/>
            <w:vMerge w:val="restart"/>
            <w:vAlign w:val="center"/>
          </w:tcPr>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检验方法</w:t>
            </w:r>
          </w:p>
        </w:tc>
        <w:tc>
          <w:tcPr>
            <w:tcW w:w="3283" w:type="dxa"/>
            <w:gridSpan w:val="3"/>
            <w:vAlign w:val="center"/>
          </w:tcPr>
          <w:p>
            <w:pPr>
              <w:adjustRightInd w:val="0"/>
              <w:snapToGrid w:val="0"/>
              <w:spacing w:line="360" w:lineRule="auto"/>
              <w:jc w:val="center"/>
              <w:rPr>
                <w:rFonts w:ascii="Times New Roman" w:hAnsi="Times New Roman" w:cs="Times New Roman"/>
                <w:color w:val="000000"/>
                <w:szCs w:val="21"/>
              </w:rPr>
            </w:pPr>
            <w:r>
              <w:rPr>
                <w:rFonts w:hint="eastAsia" w:ascii="Times New Roman" w:hAnsi="Times New Roman" w:cs="Times New Roman"/>
                <w:color w:val="000000"/>
                <w:szCs w:val="21"/>
              </w:rPr>
              <w:t>质量指标</w:t>
            </w:r>
            <w:r>
              <w:rPr>
                <w:rFonts w:ascii="Times New Roman" w:hAnsi="Times New Roman" w:cs="Times New Roman"/>
                <w:color w:val="000000"/>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Merge w:val="continue"/>
            <w:vAlign w:val="center"/>
          </w:tcPr>
          <w:p>
            <w:pPr>
              <w:adjustRightInd w:val="0"/>
              <w:snapToGrid w:val="0"/>
              <w:spacing w:line="360" w:lineRule="auto"/>
              <w:jc w:val="center"/>
              <w:rPr>
                <w:rFonts w:ascii="Times New Roman" w:hAnsi="Times New Roman" w:cs="Times New Roman"/>
                <w:color w:val="000000"/>
                <w:szCs w:val="21"/>
              </w:rPr>
            </w:pPr>
          </w:p>
        </w:tc>
        <w:tc>
          <w:tcPr>
            <w:tcW w:w="2208" w:type="dxa"/>
            <w:vMerge w:val="continue"/>
            <w:vAlign w:val="center"/>
          </w:tcPr>
          <w:p>
            <w:pPr>
              <w:adjustRightInd w:val="0"/>
              <w:snapToGrid w:val="0"/>
              <w:spacing w:line="360" w:lineRule="auto"/>
              <w:jc w:val="center"/>
              <w:rPr>
                <w:rFonts w:ascii="Times New Roman" w:hAnsi="Times New Roman" w:cs="Times New Roman"/>
                <w:color w:val="000000"/>
                <w:szCs w:val="21"/>
              </w:rPr>
            </w:pPr>
          </w:p>
        </w:tc>
        <w:tc>
          <w:tcPr>
            <w:tcW w:w="1518" w:type="dxa"/>
            <w:vMerge w:val="continue"/>
            <w:vAlign w:val="center"/>
          </w:tcPr>
          <w:p>
            <w:pPr>
              <w:adjustRightInd w:val="0"/>
              <w:snapToGrid w:val="0"/>
              <w:spacing w:line="360" w:lineRule="auto"/>
              <w:jc w:val="center"/>
              <w:rPr>
                <w:rFonts w:ascii="Times New Roman" w:hAnsi="Times New Roman" w:cs="Times New Roman"/>
                <w:color w:val="000000"/>
                <w:szCs w:val="21"/>
              </w:rPr>
            </w:pPr>
          </w:p>
        </w:tc>
        <w:tc>
          <w:tcPr>
            <w:tcW w:w="1984" w:type="dxa"/>
            <w:vMerge w:val="continue"/>
            <w:vAlign w:val="center"/>
          </w:tcPr>
          <w:p>
            <w:pPr>
              <w:adjustRightInd w:val="0"/>
              <w:snapToGrid w:val="0"/>
              <w:spacing w:line="360" w:lineRule="auto"/>
              <w:jc w:val="center"/>
              <w:rPr>
                <w:rFonts w:ascii="Times New Roman" w:hAnsi="Times New Roman" w:cs="Times New Roman"/>
                <w:color w:val="000000"/>
                <w:szCs w:val="21"/>
              </w:rPr>
            </w:pPr>
          </w:p>
        </w:tc>
        <w:tc>
          <w:tcPr>
            <w:tcW w:w="1094" w:type="dxa"/>
            <w:vAlign w:val="center"/>
          </w:tcPr>
          <w:p>
            <w:pPr>
              <w:jc w:val="center"/>
            </w:pPr>
            <w:r>
              <w:rPr>
                <w:rFonts w:hint="eastAsia"/>
              </w:rPr>
              <w:t>重要</w:t>
            </w:r>
          </w:p>
        </w:tc>
        <w:tc>
          <w:tcPr>
            <w:tcW w:w="1094" w:type="dxa"/>
            <w:vAlign w:val="center"/>
          </w:tcPr>
          <w:p>
            <w:pPr>
              <w:jc w:val="center"/>
            </w:pPr>
            <w:r>
              <w:rPr>
                <w:rFonts w:hint="eastAsia"/>
              </w:rPr>
              <w:t>较重要</w:t>
            </w:r>
          </w:p>
        </w:tc>
        <w:tc>
          <w:tcPr>
            <w:tcW w:w="1095" w:type="dxa"/>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次要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1</w:t>
            </w:r>
          </w:p>
        </w:tc>
        <w:tc>
          <w:tcPr>
            <w:tcW w:w="2208" w:type="dxa"/>
            <w:vAlign w:val="center"/>
          </w:tcPr>
          <w:p>
            <w:pPr>
              <w:snapToGrid w:val="0"/>
              <w:jc w:val="center"/>
              <w:rPr>
                <w:rFonts w:hAnsi="仿宋_GB2312"/>
                <w:szCs w:val="32"/>
              </w:rPr>
            </w:pPr>
            <w:r>
              <w:rPr>
                <w:rFonts w:hint="eastAsia" w:hAnsi="仿宋_GB2312"/>
                <w:szCs w:val="32"/>
              </w:rPr>
              <w:t>密度</w:t>
            </w:r>
          </w:p>
        </w:tc>
        <w:tc>
          <w:tcPr>
            <w:tcW w:w="1518" w:type="dxa"/>
            <w:vMerge w:val="restart"/>
            <w:vAlign w:val="center"/>
          </w:tcPr>
          <w:p>
            <w:pPr>
              <w:adjustRightInd w:val="0"/>
              <w:snapToGrid w:val="0"/>
              <w:spacing w:line="360" w:lineRule="auto"/>
              <w:jc w:val="center"/>
              <w:rPr>
                <w:rFonts w:ascii="Times New Roman" w:hAnsi="Times New Roman" w:cs="Times New Roman"/>
                <w:color w:val="000000"/>
                <w:szCs w:val="21"/>
              </w:rPr>
            </w:pPr>
            <w:r>
              <w:rPr>
                <w:rFonts w:hint="eastAsia" w:ascii="Times New Roman" w:hAnsi="Times New Roman" w:cs="Times New Roman"/>
                <w:color w:val="000000"/>
                <w:szCs w:val="21"/>
              </w:rPr>
              <w:t>GB 11174-2011《液化石油气》</w:t>
            </w:r>
          </w:p>
        </w:tc>
        <w:tc>
          <w:tcPr>
            <w:tcW w:w="1984" w:type="dxa"/>
          </w:tcPr>
          <w:p>
            <w:pPr>
              <w:jc w:val="center"/>
            </w:pPr>
            <w:r>
              <w:t>SH/T 0221-1992</w:t>
            </w:r>
          </w:p>
        </w:tc>
        <w:tc>
          <w:tcPr>
            <w:tcW w:w="1094" w:type="dxa"/>
            <w:vAlign w:val="center"/>
          </w:tcPr>
          <w:p>
            <w:pPr>
              <w:jc w:val="center"/>
            </w:pPr>
          </w:p>
        </w:tc>
        <w:tc>
          <w:tcPr>
            <w:tcW w:w="1094" w:type="dxa"/>
            <w:vAlign w:val="center"/>
          </w:tcPr>
          <w:p>
            <w:pPr>
              <w:jc w:val="center"/>
            </w:pPr>
            <w:r>
              <w:rPr>
                <w:rFonts w:hint="eastAsia" w:hAnsi="仿宋_GB2312"/>
                <w:szCs w:val="32"/>
              </w:rPr>
              <w:t>●</w:t>
            </w: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2</w:t>
            </w:r>
          </w:p>
        </w:tc>
        <w:tc>
          <w:tcPr>
            <w:tcW w:w="2208" w:type="dxa"/>
            <w:vAlign w:val="center"/>
          </w:tcPr>
          <w:p>
            <w:pPr>
              <w:snapToGrid w:val="0"/>
              <w:jc w:val="center"/>
              <w:rPr>
                <w:rFonts w:hAnsi="仿宋_GB2312"/>
                <w:szCs w:val="32"/>
              </w:rPr>
            </w:pPr>
            <w:r>
              <w:rPr>
                <w:rFonts w:hint="eastAsia" w:hAnsi="仿宋_GB2312"/>
                <w:szCs w:val="32"/>
              </w:rPr>
              <w:t>蒸气压</w:t>
            </w:r>
          </w:p>
        </w:tc>
        <w:tc>
          <w:tcPr>
            <w:tcW w:w="1518" w:type="dxa"/>
            <w:vMerge w:val="continue"/>
            <w:vAlign w:val="center"/>
          </w:tcPr>
          <w:p>
            <w:pPr>
              <w:adjustRightInd w:val="0"/>
              <w:snapToGrid w:val="0"/>
              <w:spacing w:line="360" w:lineRule="auto"/>
              <w:jc w:val="center"/>
              <w:rPr>
                <w:rFonts w:ascii="Times New Roman" w:hAnsi="Times New Roman" w:cs="Times New Roman"/>
                <w:color w:val="000000"/>
                <w:szCs w:val="21"/>
              </w:rPr>
            </w:pPr>
          </w:p>
        </w:tc>
        <w:tc>
          <w:tcPr>
            <w:tcW w:w="1984" w:type="dxa"/>
          </w:tcPr>
          <w:p>
            <w:pPr>
              <w:jc w:val="center"/>
            </w:pPr>
            <w:r>
              <w:t>GB/T 12576-1997</w:t>
            </w:r>
          </w:p>
        </w:tc>
        <w:tc>
          <w:tcPr>
            <w:tcW w:w="1094" w:type="dxa"/>
            <w:vAlign w:val="center"/>
          </w:tcPr>
          <w:p>
            <w:pPr>
              <w:jc w:val="center"/>
            </w:pPr>
            <w:r>
              <w:rPr>
                <w:rFonts w:hint="eastAsia" w:hAnsi="仿宋_GB2312"/>
                <w:szCs w:val="32"/>
              </w:rPr>
              <w:t>●</w:t>
            </w:r>
          </w:p>
        </w:tc>
        <w:tc>
          <w:tcPr>
            <w:tcW w:w="1094" w:type="dxa"/>
            <w:vAlign w:val="center"/>
          </w:tcPr>
          <w:p>
            <w:pPr>
              <w:jc w:val="center"/>
            </w:pP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3</w:t>
            </w:r>
          </w:p>
        </w:tc>
        <w:tc>
          <w:tcPr>
            <w:tcW w:w="2208" w:type="dxa"/>
            <w:vAlign w:val="center"/>
          </w:tcPr>
          <w:p>
            <w:pPr>
              <w:snapToGrid w:val="0"/>
              <w:jc w:val="center"/>
              <w:rPr>
                <w:rFonts w:hAnsi="仿宋_GB2312"/>
                <w:szCs w:val="32"/>
              </w:rPr>
            </w:pPr>
            <w:r>
              <w:rPr>
                <w:rFonts w:hint="eastAsia" w:hAnsi="仿宋_GB2312"/>
                <w:szCs w:val="32"/>
              </w:rPr>
              <w:t>组分</w:t>
            </w:r>
          </w:p>
        </w:tc>
        <w:tc>
          <w:tcPr>
            <w:tcW w:w="1518" w:type="dxa"/>
            <w:vMerge w:val="continue"/>
            <w:vAlign w:val="center"/>
          </w:tcPr>
          <w:p>
            <w:pPr>
              <w:widowControl/>
              <w:adjustRightInd w:val="0"/>
              <w:snapToGrid w:val="0"/>
              <w:spacing w:line="360" w:lineRule="auto"/>
              <w:jc w:val="center"/>
              <w:rPr>
                <w:rFonts w:ascii="Times New Roman" w:hAnsi="Times New Roman" w:eastAsia="宋体" w:cs="Times New Roman"/>
                <w:snapToGrid w:val="0"/>
                <w:kern w:val="0"/>
                <w:szCs w:val="21"/>
              </w:rPr>
            </w:pPr>
          </w:p>
        </w:tc>
        <w:tc>
          <w:tcPr>
            <w:tcW w:w="1984" w:type="dxa"/>
          </w:tcPr>
          <w:p>
            <w:pPr>
              <w:jc w:val="center"/>
            </w:pPr>
            <w:r>
              <w:t>NB/SH/T 0230-2019</w:t>
            </w:r>
          </w:p>
        </w:tc>
        <w:tc>
          <w:tcPr>
            <w:tcW w:w="1094" w:type="dxa"/>
            <w:vAlign w:val="center"/>
          </w:tcPr>
          <w:p>
            <w:pPr>
              <w:jc w:val="center"/>
            </w:pPr>
            <w:r>
              <w:rPr>
                <w:rFonts w:hint="eastAsia" w:hAnsi="仿宋_GB2312"/>
                <w:szCs w:val="32"/>
              </w:rPr>
              <w:t>●</w:t>
            </w:r>
          </w:p>
        </w:tc>
        <w:tc>
          <w:tcPr>
            <w:tcW w:w="1094" w:type="dxa"/>
            <w:vAlign w:val="center"/>
          </w:tcPr>
          <w:p>
            <w:pPr>
              <w:jc w:val="center"/>
            </w:pP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4</w:t>
            </w:r>
          </w:p>
        </w:tc>
        <w:tc>
          <w:tcPr>
            <w:tcW w:w="2208" w:type="dxa"/>
            <w:vAlign w:val="center"/>
          </w:tcPr>
          <w:p>
            <w:pPr>
              <w:snapToGrid w:val="0"/>
              <w:jc w:val="center"/>
              <w:rPr>
                <w:rFonts w:hAnsi="仿宋_GB2312"/>
                <w:szCs w:val="32"/>
              </w:rPr>
            </w:pPr>
            <w:r>
              <w:rPr>
                <w:rFonts w:hint="eastAsia" w:hAnsi="仿宋_GB2312"/>
                <w:szCs w:val="32"/>
              </w:rPr>
              <w:t>残留物</w:t>
            </w:r>
          </w:p>
        </w:tc>
        <w:tc>
          <w:tcPr>
            <w:tcW w:w="1518" w:type="dxa"/>
            <w:vMerge w:val="continue"/>
            <w:vAlign w:val="center"/>
          </w:tcPr>
          <w:p>
            <w:pPr>
              <w:widowControl/>
              <w:adjustRightInd w:val="0"/>
              <w:snapToGrid w:val="0"/>
              <w:spacing w:line="360" w:lineRule="auto"/>
              <w:jc w:val="center"/>
              <w:rPr>
                <w:rFonts w:ascii="Times New Roman" w:hAnsi="Times New Roman" w:cs="Times New Roman"/>
                <w:color w:val="000000"/>
                <w:szCs w:val="21"/>
              </w:rPr>
            </w:pPr>
          </w:p>
        </w:tc>
        <w:tc>
          <w:tcPr>
            <w:tcW w:w="1984" w:type="dxa"/>
          </w:tcPr>
          <w:p>
            <w:pPr>
              <w:jc w:val="center"/>
            </w:pPr>
            <w:r>
              <w:t>SY/T 7509-2014</w:t>
            </w:r>
          </w:p>
        </w:tc>
        <w:tc>
          <w:tcPr>
            <w:tcW w:w="1094" w:type="dxa"/>
            <w:vAlign w:val="center"/>
          </w:tcPr>
          <w:p>
            <w:pPr>
              <w:jc w:val="center"/>
            </w:pPr>
            <w:r>
              <w:rPr>
                <w:rFonts w:hint="eastAsia" w:hAnsi="仿宋_GB2312"/>
                <w:szCs w:val="32"/>
              </w:rPr>
              <w:t>●</w:t>
            </w:r>
          </w:p>
        </w:tc>
        <w:tc>
          <w:tcPr>
            <w:tcW w:w="1094" w:type="dxa"/>
            <w:vAlign w:val="center"/>
          </w:tcPr>
          <w:p>
            <w:pPr>
              <w:jc w:val="center"/>
            </w:pP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5</w:t>
            </w:r>
          </w:p>
        </w:tc>
        <w:tc>
          <w:tcPr>
            <w:tcW w:w="2208" w:type="dxa"/>
            <w:vAlign w:val="center"/>
          </w:tcPr>
          <w:p>
            <w:pPr>
              <w:snapToGrid w:val="0"/>
              <w:jc w:val="center"/>
              <w:rPr>
                <w:rFonts w:hAnsi="仿宋_GB2312"/>
                <w:szCs w:val="32"/>
              </w:rPr>
            </w:pPr>
            <w:r>
              <w:rPr>
                <w:rFonts w:hint="eastAsia" w:hAnsi="仿宋_GB2312"/>
                <w:szCs w:val="32"/>
              </w:rPr>
              <w:t>铜片腐蚀</w:t>
            </w:r>
          </w:p>
        </w:tc>
        <w:tc>
          <w:tcPr>
            <w:tcW w:w="1518" w:type="dxa"/>
            <w:vMerge w:val="continue"/>
            <w:vAlign w:val="center"/>
          </w:tcPr>
          <w:p>
            <w:pPr>
              <w:widowControl/>
              <w:adjustRightInd w:val="0"/>
              <w:snapToGrid w:val="0"/>
              <w:spacing w:line="360" w:lineRule="auto"/>
              <w:jc w:val="center"/>
              <w:rPr>
                <w:rFonts w:ascii="Times New Roman" w:hAnsi="Times New Roman" w:cs="Times New Roman"/>
                <w:color w:val="000000"/>
                <w:szCs w:val="21"/>
              </w:rPr>
            </w:pPr>
          </w:p>
        </w:tc>
        <w:tc>
          <w:tcPr>
            <w:tcW w:w="1984" w:type="dxa"/>
          </w:tcPr>
          <w:p>
            <w:pPr>
              <w:jc w:val="center"/>
            </w:pPr>
            <w:r>
              <w:t>SH/T 0232-1992</w:t>
            </w:r>
          </w:p>
        </w:tc>
        <w:tc>
          <w:tcPr>
            <w:tcW w:w="1094" w:type="dxa"/>
            <w:vAlign w:val="center"/>
          </w:tcPr>
          <w:p>
            <w:pPr>
              <w:jc w:val="center"/>
            </w:pPr>
            <w:r>
              <w:rPr>
                <w:rFonts w:hint="eastAsia" w:hAnsi="仿宋_GB2312"/>
                <w:szCs w:val="32"/>
              </w:rPr>
              <w:t>●</w:t>
            </w:r>
          </w:p>
        </w:tc>
        <w:tc>
          <w:tcPr>
            <w:tcW w:w="1094" w:type="dxa"/>
            <w:vAlign w:val="center"/>
          </w:tcPr>
          <w:p>
            <w:pPr>
              <w:jc w:val="center"/>
            </w:pP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6</w:t>
            </w:r>
          </w:p>
        </w:tc>
        <w:tc>
          <w:tcPr>
            <w:tcW w:w="2208" w:type="dxa"/>
            <w:vAlign w:val="center"/>
          </w:tcPr>
          <w:p>
            <w:pPr>
              <w:snapToGrid w:val="0"/>
              <w:jc w:val="center"/>
              <w:rPr>
                <w:rFonts w:hAnsi="仿宋_GB2312"/>
                <w:szCs w:val="32"/>
              </w:rPr>
            </w:pPr>
            <w:r>
              <w:rPr>
                <w:rFonts w:hint="eastAsia" w:hAnsi="仿宋_GB2312"/>
                <w:szCs w:val="32"/>
              </w:rPr>
              <w:t>总硫含量</w:t>
            </w:r>
          </w:p>
        </w:tc>
        <w:tc>
          <w:tcPr>
            <w:tcW w:w="1518" w:type="dxa"/>
            <w:vMerge w:val="continue"/>
            <w:vAlign w:val="center"/>
          </w:tcPr>
          <w:p>
            <w:pPr>
              <w:widowControl/>
              <w:adjustRightInd w:val="0"/>
              <w:snapToGrid w:val="0"/>
              <w:spacing w:line="360" w:lineRule="auto"/>
              <w:jc w:val="center"/>
              <w:rPr>
                <w:rFonts w:ascii="Times New Roman" w:hAnsi="Times New Roman" w:cs="Times New Roman"/>
                <w:color w:val="000000"/>
                <w:szCs w:val="21"/>
              </w:rPr>
            </w:pPr>
          </w:p>
        </w:tc>
        <w:tc>
          <w:tcPr>
            <w:tcW w:w="1984" w:type="dxa"/>
          </w:tcPr>
          <w:p>
            <w:pPr>
              <w:jc w:val="center"/>
            </w:pPr>
            <w:r>
              <w:t>SH/T 0222-1992</w:t>
            </w:r>
          </w:p>
        </w:tc>
        <w:tc>
          <w:tcPr>
            <w:tcW w:w="1094" w:type="dxa"/>
            <w:vAlign w:val="center"/>
          </w:tcPr>
          <w:p>
            <w:pPr>
              <w:jc w:val="center"/>
            </w:pPr>
          </w:p>
        </w:tc>
        <w:tc>
          <w:tcPr>
            <w:tcW w:w="1094" w:type="dxa"/>
            <w:vAlign w:val="center"/>
          </w:tcPr>
          <w:p>
            <w:pPr>
              <w:jc w:val="center"/>
            </w:pPr>
            <w:r>
              <w:rPr>
                <w:rFonts w:hint="eastAsia" w:hAnsi="仿宋_GB2312"/>
                <w:szCs w:val="32"/>
              </w:rPr>
              <w:t>●</w:t>
            </w: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7</w:t>
            </w:r>
          </w:p>
        </w:tc>
        <w:tc>
          <w:tcPr>
            <w:tcW w:w="2208" w:type="dxa"/>
            <w:vAlign w:val="center"/>
          </w:tcPr>
          <w:p>
            <w:pPr>
              <w:snapToGrid w:val="0"/>
              <w:jc w:val="center"/>
              <w:rPr>
                <w:rFonts w:hAnsi="仿宋_GB2312"/>
                <w:szCs w:val="32"/>
              </w:rPr>
            </w:pPr>
            <w:r>
              <w:rPr>
                <w:rFonts w:hint="eastAsia" w:hAnsi="仿宋_GB2312"/>
                <w:szCs w:val="32"/>
              </w:rPr>
              <w:t>硫化氢</w:t>
            </w:r>
          </w:p>
        </w:tc>
        <w:tc>
          <w:tcPr>
            <w:tcW w:w="1518" w:type="dxa"/>
            <w:vMerge w:val="continue"/>
            <w:vAlign w:val="center"/>
          </w:tcPr>
          <w:p>
            <w:pPr>
              <w:widowControl/>
              <w:adjustRightInd w:val="0"/>
              <w:snapToGrid w:val="0"/>
              <w:spacing w:line="360" w:lineRule="auto"/>
              <w:jc w:val="center"/>
              <w:rPr>
                <w:rFonts w:ascii="Times New Roman" w:hAnsi="Times New Roman" w:cs="Times New Roman"/>
                <w:color w:val="000000"/>
                <w:szCs w:val="21"/>
              </w:rPr>
            </w:pPr>
          </w:p>
        </w:tc>
        <w:tc>
          <w:tcPr>
            <w:tcW w:w="1984" w:type="dxa"/>
          </w:tcPr>
          <w:p>
            <w:pPr>
              <w:jc w:val="center"/>
            </w:pPr>
            <w:r>
              <w:t>SH/T 0125-1992</w:t>
            </w:r>
          </w:p>
        </w:tc>
        <w:tc>
          <w:tcPr>
            <w:tcW w:w="1094" w:type="dxa"/>
            <w:vAlign w:val="center"/>
          </w:tcPr>
          <w:p>
            <w:pPr>
              <w:jc w:val="center"/>
            </w:pPr>
          </w:p>
        </w:tc>
        <w:tc>
          <w:tcPr>
            <w:tcW w:w="1094" w:type="dxa"/>
            <w:vAlign w:val="center"/>
          </w:tcPr>
          <w:p>
            <w:pPr>
              <w:jc w:val="center"/>
            </w:pPr>
            <w:r>
              <w:rPr>
                <w:rFonts w:hint="eastAsia" w:hAnsi="仿宋_GB2312"/>
                <w:szCs w:val="32"/>
              </w:rPr>
              <w:t>●</w:t>
            </w: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694" w:type="dxa"/>
            <w:vAlign w:val="center"/>
          </w:tcPr>
          <w:p>
            <w:pPr>
              <w:jc w:val="center"/>
            </w:pPr>
            <w:r>
              <w:t>8</w:t>
            </w:r>
          </w:p>
        </w:tc>
        <w:tc>
          <w:tcPr>
            <w:tcW w:w="2208" w:type="dxa"/>
            <w:vAlign w:val="center"/>
          </w:tcPr>
          <w:p>
            <w:pPr>
              <w:snapToGrid w:val="0"/>
              <w:jc w:val="center"/>
              <w:rPr>
                <w:rFonts w:hAnsi="仿宋_GB2312"/>
                <w:szCs w:val="32"/>
              </w:rPr>
            </w:pPr>
            <w:r>
              <w:rPr>
                <w:rFonts w:hint="eastAsia" w:hAnsi="仿宋_GB2312"/>
                <w:szCs w:val="32"/>
              </w:rPr>
              <w:t>游离水</w:t>
            </w:r>
          </w:p>
        </w:tc>
        <w:tc>
          <w:tcPr>
            <w:tcW w:w="1518" w:type="dxa"/>
            <w:vMerge w:val="continue"/>
            <w:vAlign w:val="center"/>
          </w:tcPr>
          <w:p>
            <w:pPr>
              <w:widowControl/>
              <w:adjustRightInd w:val="0"/>
              <w:snapToGrid w:val="0"/>
              <w:spacing w:line="360" w:lineRule="auto"/>
              <w:jc w:val="center"/>
              <w:rPr>
                <w:rFonts w:ascii="Times New Roman" w:hAnsi="Times New Roman" w:cs="Times New Roman"/>
                <w:color w:val="000000"/>
                <w:szCs w:val="21"/>
              </w:rPr>
            </w:pPr>
          </w:p>
        </w:tc>
        <w:tc>
          <w:tcPr>
            <w:tcW w:w="1984" w:type="dxa"/>
          </w:tcPr>
          <w:p>
            <w:pPr>
              <w:jc w:val="center"/>
            </w:pPr>
            <w:r>
              <w:t>GB 11174-2011</w:t>
            </w:r>
          </w:p>
        </w:tc>
        <w:tc>
          <w:tcPr>
            <w:tcW w:w="1094" w:type="dxa"/>
            <w:vAlign w:val="center"/>
          </w:tcPr>
          <w:p>
            <w:pPr>
              <w:jc w:val="center"/>
            </w:pPr>
            <w:r>
              <w:rPr>
                <w:rFonts w:hint="eastAsia" w:hAnsi="仿宋_GB2312"/>
                <w:szCs w:val="32"/>
              </w:rPr>
              <w:t>●</w:t>
            </w:r>
          </w:p>
        </w:tc>
        <w:tc>
          <w:tcPr>
            <w:tcW w:w="1094" w:type="dxa"/>
            <w:vAlign w:val="center"/>
          </w:tcPr>
          <w:p>
            <w:pPr>
              <w:jc w:val="center"/>
            </w:pPr>
          </w:p>
        </w:tc>
        <w:tc>
          <w:tcPr>
            <w:tcW w:w="109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9687" w:type="dxa"/>
            <w:gridSpan w:val="7"/>
            <w:vAlign w:val="center"/>
          </w:tcPr>
          <w:p>
            <w:pPr>
              <w:adjustRightInd w:val="0"/>
              <w:snapToGrid w:val="0"/>
              <w:spacing w:line="360" w:lineRule="auto"/>
              <w:jc w:val="left"/>
              <w:rPr>
                <w:rFonts w:ascii="Times New Roman" w:hAnsi="Times New Roman" w:cs="Times New Roman"/>
                <w:color w:val="000000"/>
                <w:sz w:val="18"/>
                <w:szCs w:val="18"/>
              </w:rPr>
            </w:pPr>
            <w:r>
              <w:rPr>
                <w:rFonts w:hint="eastAsia" w:ascii="Times New Roman" w:hAnsi="Times New Roman" w:cs="Times New Roman"/>
                <w:color w:val="000000"/>
                <w:sz w:val="18"/>
                <w:szCs w:val="18"/>
              </w:rPr>
              <w:t>注：①重要质量指标是指直接涉及人体健康和财产安全的指标及产品关键性能指标；较重要质量指标是指涉及环保、能效或特征值的指标，以及强制性标准或相关法律法规规定的其他指标；次要质量指标是指除上述要求外，相关标准规定的其他指标。</w:t>
            </w:r>
          </w:p>
          <w:p>
            <w:pPr>
              <w:adjustRightInd w:val="0"/>
              <w:snapToGrid w:val="0"/>
              <w:spacing w:line="360" w:lineRule="auto"/>
              <w:jc w:val="left"/>
              <w:rPr>
                <w:rFonts w:ascii="Times New Roman" w:hAnsi="Times New Roman" w:cs="Times New Roman"/>
                <w:color w:val="000000"/>
                <w:sz w:val="18"/>
                <w:szCs w:val="18"/>
              </w:rPr>
            </w:pPr>
            <w:r>
              <w:rPr>
                <w:rFonts w:hint="eastAsia" w:ascii="Times New Roman" w:hAnsi="Times New Roman" w:cs="Times New Roman"/>
                <w:color w:val="000000"/>
                <w:sz w:val="18"/>
                <w:szCs w:val="18"/>
              </w:rPr>
              <w:t>②上表所列检测项目是有关法律法规、标准等规定的项目。</w:t>
            </w:r>
          </w:p>
          <w:p>
            <w:pPr>
              <w:adjustRightInd w:val="0"/>
              <w:snapToGrid w:val="0"/>
              <w:spacing w:line="360" w:lineRule="auto"/>
              <w:jc w:val="left"/>
              <w:rPr>
                <w:rFonts w:ascii="Times New Roman" w:hAnsi="Times New Roman" w:cs="Times New Roman"/>
                <w:color w:val="000000"/>
                <w:szCs w:val="21"/>
              </w:rPr>
            </w:pPr>
            <w:r>
              <w:rPr>
                <w:rFonts w:hint="eastAsia" w:ascii="Times New Roman" w:hAnsi="Times New Roman" w:cs="Times New Roman"/>
                <w:color w:val="000000"/>
                <w:sz w:val="18"/>
                <w:szCs w:val="18"/>
              </w:rPr>
              <w:t>③当一个检测项目可以用多个检测方法时，存在异议则按照产品标准的规定选用仲裁试验方法。</w:t>
            </w:r>
          </w:p>
        </w:tc>
      </w:tr>
    </w:tbl>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adjustRightInd w:val="0"/>
        <w:snapToGrid w:val="0"/>
        <w:spacing w:line="360" w:lineRule="auto"/>
        <w:ind w:firstLine="420" w:firstLineChars="200"/>
        <w:rPr>
          <w:rFonts w:ascii="Times New Roman" w:hAnsi="Times New Roman" w:cs="Times New Roman"/>
          <w:color w:val="000000"/>
          <w:szCs w:val="21"/>
        </w:rPr>
      </w:pPr>
    </w:p>
    <w:p>
      <w:pPr>
        <w:adjustRightInd w:val="0"/>
        <w:snapToGrid w:val="0"/>
        <w:spacing w:line="360" w:lineRule="auto"/>
        <w:rPr>
          <w:rFonts w:ascii="Times New Roman" w:hAnsi="Times New Roman" w:eastAsia="黑体" w:cs="Times New Roman"/>
          <w:color w:val="000000"/>
          <w:szCs w:val="21"/>
        </w:rPr>
      </w:pPr>
      <w:r>
        <w:rPr>
          <w:rFonts w:ascii="Times New Roman" w:hAnsi="Times New Roman" w:eastAsia="黑体" w:cs="Times New Roman"/>
          <w:color w:val="000000"/>
          <w:szCs w:val="21"/>
        </w:rPr>
        <w:t>3 判定规则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3.1依据标准</w:t>
      </w:r>
    </w:p>
    <w:p>
      <w:pPr>
        <w:pStyle w:val="2"/>
        <w:adjustRightInd w:val="0"/>
        <w:snapToGrid w:val="0"/>
        <w:spacing w:line="360" w:lineRule="auto"/>
        <w:ind w:firstLine="420" w:firstLineChars="200"/>
        <w:rPr>
          <w:rFonts w:hAnsi="宋体" w:eastAsia="宋体" w:cs="宋体"/>
          <w:szCs w:val="21"/>
        </w:rPr>
      </w:pPr>
      <w:r>
        <w:rPr>
          <w:rFonts w:hAnsi="宋体" w:eastAsia="宋体" w:cs="宋体"/>
          <w:szCs w:val="21"/>
        </w:rPr>
        <w:t xml:space="preserve">GB </w:t>
      </w:r>
      <w:r>
        <w:rPr>
          <w:rFonts w:hint="eastAsia" w:hAnsi="宋体" w:eastAsia="宋体" w:cs="宋体"/>
          <w:szCs w:val="21"/>
        </w:rPr>
        <w:t>11174-2011《液化石油气》</w:t>
      </w:r>
    </w:p>
    <w:p>
      <w:pPr>
        <w:adjustRightInd w:val="0"/>
        <w:snapToGrid w:val="0"/>
        <w:spacing w:line="360" w:lineRule="auto"/>
        <w:ind w:firstLine="417" w:firstLineChars="199"/>
        <w:rPr>
          <w:rFonts w:ascii="Times New Roman" w:hAnsi="Times New Roman" w:cs="Times New Roman"/>
          <w:color w:val="000000"/>
          <w:szCs w:val="21"/>
        </w:rPr>
      </w:pPr>
      <w:r>
        <w:rPr>
          <w:rFonts w:ascii="Times New Roman" w:hAnsi="Times New Roman" w:cs="Times New Roman"/>
          <w:color w:val="000000"/>
          <w:szCs w:val="21"/>
        </w:rPr>
        <w:t>相关的法律、行政法规、部门规章、规范性文件</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现行有效的企业标准、团体标准、地方标准及产品明示质量要求</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3.2判定原则</w:t>
      </w:r>
    </w:p>
    <w:p>
      <w:pPr>
        <w:adjustRightInd w:val="0"/>
        <w:snapToGrid w:val="0"/>
        <w:spacing w:line="360" w:lineRule="auto"/>
        <w:ind w:firstLine="417" w:firstLineChars="199"/>
        <w:rPr>
          <w:rFonts w:ascii="Times New Roman" w:hAnsi="Times New Roman" w:cs="Times New Roman"/>
          <w:color w:val="000000"/>
          <w:szCs w:val="21"/>
        </w:rPr>
      </w:pPr>
      <w:r>
        <w:rPr>
          <w:rFonts w:hint="eastAsia" w:ascii="Times New Roman" w:hAnsi="Times New Roman" w:cs="Times New Roman"/>
          <w:color w:val="000000"/>
          <w:szCs w:val="21"/>
        </w:rPr>
        <w:t>经检验，所检验项目全部符合标准要求，判定为被抽查产品未发现不合格；检验项目中任一项或一项以上不合格，判定为被抽查产品不合格。当产品存在较重要质量指标或次要质量指标项目不合格时，属于不合格；当产品存在重要质量指标项目不合格时，属于严重不合格。</w:t>
      </w:r>
    </w:p>
    <w:p>
      <w:pPr>
        <w:adjustRightInd w:val="0"/>
        <w:snapToGrid w:val="0"/>
        <w:spacing w:line="360" w:lineRule="auto"/>
        <w:ind w:firstLine="417" w:firstLineChars="199"/>
        <w:rPr>
          <w:rFonts w:ascii="Times New Roman" w:hAnsi="Times New Roman" w:cs="Times New Roman"/>
          <w:color w:val="000000"/>
          <w:szCs w:val="21"/>
        </w:rPr>
      </w:pPr>
      <w:r>
        <w:rPr>
          <w:rFonts w:hint="eastAsia" w:ascii="Times New Roman" w:hAnsi="Times New Roman" w:cs="Times New Roman"/>
          <w:color w:val="000000"/>
          <w:szCs w:val="21"/>
        </w:rPr>
        <w:t>若被检产品明示的质量要求高于本细则中检验项目依据的标准要求时，应按被检产品明示的质量要求判定。</w:t>
      </w:r>
    </w:p>
    <w:p>
      <w:pPr>
        <w:adjustRightInd w:val="0"/>
        <w:snapToGrid w:val="0"/>
        <w:spacing w:line="360" w:lineRule="auto"/>
        <w:ind w:firstLine="417" w:firstLineChars="199"/>
        <w:rPr>
          <w:rFonts w:ascii="Times New Roman" w:hAnsi="Times New Roman" w:cs="Times New Roman"/>
          <w:color w:val="000000"/>
          <w:szCs w:val="21"/>
        </w:rPr>
      </w:pPr>
      <w:r>
        <w:rPr>
          <w:rFonts w:hint="eastAsia" w:ascii="Times New Roman" w:hAnsi="Times New Roman" w:cs="Times New Roman"/>
          <w:color w:val="000000"/>
          <w:szCs w:val="21"/>
        </w:rPr>
        <w:t>若被检产品明示的质量要求低于本细则中检验项目依据的强制性标准要求时，应按照强制性标准要求判定。</w:t>
      </w:r>
    </w:p>
    <w:p>
      <w:pPr>
        <w:adjustRightInd w:val="0"/>
        <w:snapToGrid w:val="0"/>
        <w:spacing w:line="360" w:lineRule="auto"/>
        <w:ind w:firstLine="417" w:firstLineChars="199"/>
        <w:rPr>
          <w:rFonts w:ascii="Times New Roman" w:hAnsi="Times New Roman" w:cs="Times New Roman"/>
          <w:color w:val="000000"/>
          <w:szCs w:val="21"/>
        </w:rPr>
      </w:pPr>
      <w:r>
        <w:rPr>
          <w:rFonts w:hint="eastAsia" w:ascii="Times New Roman" w:hAnsi="Times New Roman" w:cs="Times New Roman"/>
          <w:color w:val="000000"/>
          <w:szCs w:val="21"/>
        </w:rPr>
        <w:t>若被检产品明示的质量要求低于或包含本细则中检验项目依据的推荐性标准要求时，应以被检产品明示的质量要求判定，但应在检验报告备注中进行说明。</w:t>
      </w:r>
    </w:p>
    <w:p>
      <w:pPr>
        <w:adjustRightInd w:val="0"/>
        <w:snapToGrid w:val="0"/>
        <w:spacing w:line="360" w:lineRule="auto"/>
        <w:ind w:firstLine="417" w:firstLineChars="199"/>
        <w:rPr>
          <w:rFonts w:ascii="Times New Roman" w:hAnsi="Times New Roman" w:cs="Times New Roman"/>
          <w:color w:val="000000"/>
          <w:szCs w:val="21"/>
        </w:rPr>
      </w:pPr>
      <w:r>
        <w:rPr>
          <w:rFonts w:hint="eastAsia" w:ascii="Times New Roman" w:hAnsi="Times New Roman" w:cs="Times New Roman"/>
          <w:color w:val="000000"/>
          <w:szCs w:val="21"/>
        </w:rPr>
        <w:t>若被检产品明示的质量要求缺少本细则中检验项目依据的强制性标准要求时，应按照强制性标准要求判定。</w:t>
      </w:r>
    </w:p>
    <w:p>
      <w:pPr>
        <w:adjustRightInd w:val="0"/>
        <w:snapToGrid w:val="0"/>
        <w:spacing w:line="360" w:lineRule="auto"/>
        <w:ind w:firstLine="417" w:firstLineChars="199"/>
        <w:rPr>
          <w:rFonts w:ascii="Times New Roman" w:hAnsi="Times New Roman" w:cs="Times New Roman"/>
          <w:color w:val="000000"/>
          <w:szCs w:val="21"/>
        </w:rPr>
      </w:pPr>
      <w:r>
        <w:rPr>
          <w:rFonts w:hint="eastAsia" w:ascii="Times New Roman" w:hAnsi="Times New Roman" w:cs="Times New Roman"/>
          <w:color w:val="000000"/>
          <w:szCs w:val="21"/>
        </w:rPr>
        <w:t>若被检产品明示的质量要求缺少本细则中检验项目依据的推荐性标准要求时，该项目不参与判定，但应在检验报告备注中进行说明。</w:t>
      </w:r>
    </w:p>
    <w:p>
      <w:pPr>
        <w:adjustRightInd w:val="0"/>
        <w:snapToGrid w:val="0"/>
        <w:spacing w:line="360" w:lineRule="auto"/>
        <w:rPr>
          <w:rFonts w:ascii="Times New Roman" w:hAnsi="Times New Roman" w:cs="Times New Roman"/>
          <w:color w:val="000000"/>
          <w:szCs w:val="21"/>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C7379"/>
    <w:rsid w:val="00081C2D"/>
    <w:rsid w:val="0008535D"/>
    <w:rsid w:val="000E1E29"/>
    <w:rsid w:val="00173EDB"/>
    <w:rsid w:val="001C6300"/>
    <w:rsid w:val="001E1710"/>
    <w:rsid w:val="00201D77"/>
    <w:rsid w:val="002E1FC9"/>
    <w:rsid w:val="00302B1F"/>
    <w:rsid w:val="00330855"/>
    <w:rsid w:val="003B731C"/>
    <w:rsid w:val="00412FB1"/>
    <w:rsid w:val="004E11F8"/>
    <w:rsid w:val="00515917"/>
    <w:rsid w:val="00533333"/>
    <w:rsid w:val="00583FB3"/>
    <w:rsid w:val="00642A48"/>
    <w:rsid w:val="00690A3E"/>
    <w:rsid w:val="00703683"/>
    <w:rsid w:val="00735D54"/>
    <w:rsid w:val="00751D7F"/>
    <w:rsid w:val="00784986"/>
    <w:rsid w:val="007F1EEC"/>
    <w:rsid w:val="007F6979"/>
    <w:rsid w:val="00812681"/>
    <w:rsid w:val="008905C3"/>
    <w:rsid w:val="008B3904"/>
    <w:rsid w:val="00A75F3F"/>
    <w:rsid w:val="00A814E4"/>
    <w:rsid w:val="00AC62D6"/>
    <w:rsid w:val="00AD510B"/>
    <w:rsid w:val="00C7004A"/>
    <w:rsid w:val="00CD736E"/>
    <w:rsid w:val="00D02660"/>
    <w:rsid w:val="00D21A5D"/>
    <w:rsid w:val="00E27657"/>
    <w:rsid w:val="00F11A9C"/>
    <w:rsid w:val="00F43F8E"/>
    <w:rsid w:val="00F66961"/>
    <w:rsid w:val="00FD3C3B"/>
    <w:rsid w:val="05D41F8D"/>
    <w:rsid w:val="09922312"/>
    <w:rsid w:val="0A3674D8"/>
    <w:rsid w:val="279777BC"/>
    <w:rsid w:val="2D9D4F01"/>
    <w:rsid w:val="397E01CB"/>
    <w:rsid w:val="3C626DF3"/>
    <w:rsid w:val="3CE33C8B"/>
    <w:rsid w:val="404B7B55"/>
    <w:rsid w:val="42727726"/>
    <w:rsid w:val="43063C9A"/>
    <w:rsid w:val="44B158FB"/>
    <w:rsid w:val="49DC72CD"/>
    <w:rsid w:val="5463518E"/>
    <w:rsid w:val="5C583F15"/>
    <w:rsid w:val="5DB85E94"/>
    <w:rsid w:val="623B46A6"/>
    <w:rsid w:val="6A5A4E2A"/>
    <w:rsid w:val="6E923441"/>
    <w:rsid w:val="71F57208"/>
    <w:rsid w:val="73CC7379"/>
    <w:rsid w:val="772608DB"/>
    <w:rsid w:val="786926B1"/>
    <w:rsid w:val="78FA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760</Words>
  <Characters>838</Characters>
  <Lines>279</Lines>
  <Paragraphs>228</Paragraphs>
  <TotalTime>26</TotalTime>
  <ScaleCrop>false</ScaleCrop>
  <LinksUpToDate>false</LinksUpToDate>
  <CharactersWithSpaces>1370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2020-03-25T02:48:00Z</dcterms:created>
  <dc:creator>JS</dc:creator>
  <cp:lastModifiedBy>顾娜</cp:lastModifiedBy>
  <dcterms:modified xsi:type="dcterms:W3CDTF">2021-05-07T09:00:44Z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