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主要任务责任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分工表</w:t>
      </w:r>
    </w:p>
    <w:bookmarkEnd w:id="0"/>
    <w:p>
      <w:pPr>
        <w:jc w:val="center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/>
        </w:rPr>
        <w:t>责任</w:t>
      </w:r>
      <w:r>
        <w:rPr>
          <w:rFonts w:hint="eastAsia" w:eastAsia="黑体" w:cs="Times New Roman"/>
          <w:i w:val="0"/>
          <w:color w:val="auto"/>
          <w:kern w:val="0"/>
          <w:sz w:val="32"/>
          <w:szCs w:val="32"/>
          <w:u w:val="none"/>
          <w:lang w:val="en-US" w:eastAsia="zh-CN"/>
        </w:rPr>
        <w:t>单位栏</w:t>
      </w:r>
      <w:r>
        <w:rPr>
          <w:rFonts w:hint="eastAsia" w:ascii="黑体" w:hAnsi="黑体" w:eastAsia="黑体" w:cs="黑体"/>
          <w:sz w:val="32"/>
          <w:szCs w:val="32"/>
        </w:rPr>
        <w:t>列在首位的为牵头单位，其他为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配合</w:t>
      </w:r>
      <w:r>
        <w:rPr>
          <w:rFonts w:hint="eastAsia" w:ascii="黑体" w:hAnsi="黑体" w:eastAsia="黑体" w:cs="黑体"/>
          <w:sz w:val="32"/>
          <w:szCs w:val="32"/>
        </w:rPr>
        <w:t>单位）</w:t>
      </w:r>
    </w:p>
    <w:tbl>
      <w:tblPr>
        <w:tblStyle w:val="3"/>
        <w:tblW w:w="8603" w:type="dxa"/>
        <w:jc w:val="center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2833"/>
        <w:gridCol w:w="4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tblHeader/>
          <w:jc w:val="center"/>
        </w:trPr>
        <w:tc>
          <w:tcPr>
            <w:tcW w:w="448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主要任务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责任</w:t>
            </w:r>
            <w:r>
              <w:rPr>
                <w:rFonts w:hint="eastAsia" w:eastAsia="黑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exact"/>
          <w:jc w:val="center"/>
        </w:trPr>
        <w:tc>
          <w:tcPr>
            <w:tcW w:w="164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一、完善公平适度的待遇保障机制</w:t>
            </w: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1.完善基本医疗保险制度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市医保局、财政局、卫生健康委、税务局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各区人民政府。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2.严格贯彻落实医疗保障待遇清单制度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市医保局、财政局。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3.健全统一规范的医疗救助制度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市医保局、公安局、民政局、财政局、卫生健康委、退役军人事务局、残疾人联合会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4.完善重大疫情医疗救治费用保障机制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市医保局、财政局、卫生健康委。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5.持续健全多层次医疗保障体系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市医保局、民政局、财政局、总工会、地方金融监管局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广东银保监局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exact"/>
          <w:jc w:val="center"/>
        </w:trPr>
        <w:tc>
          <w:tcPr>
            <w:tcW w:w="164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二、健全稳健可持续的筹资运行机制</w:t>
            </w: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6.完善筹资分担和调整机制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市医保局、财政局、税务局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，各区人民政府。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7.配合推进基本医疗保障省级统筹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市医保局、财政局、卫生健康委、政务服务数据管理局、税务局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8.加强基金预算管理和风险预警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市医保局、财政局、税务局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exact"/>
          <w:jc w:val="center"/>
        </w:trPr>
        <w:tc>
          <w:tcPr>
            <w:tcW w:w="164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三、完善管用高效的医保支付机制</w:t>
            </w: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9.完善医保目录动态调整机制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市医保局、卫生健康委、市场监管局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10.完善医保协议管理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市医保局、卫生健康委、政务服务数据管理局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11.深化医保支付方式改革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市医保局、财政局、卫生健康委、政务服务数据管理局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exact"/>
          <w:jc w:val="center"/>
        </w:trPr>
        <w:tc>
          <w:tcPr>
            <w:tcW w:w="164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四、健全严密有力的基金监管机制</w:t>
            </w: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12.完善基金监管体制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市医保局、公安局、财政局、卫生健康委、审计局、市场监管局、税务局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13.创新基金监管方式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市医保局、卫生健康委、市场监管局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14.依法打击欺诈骗保行为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市医保局、发展改革委、公安局、司法局、财政局、卫生健康委、审计局、市场监管局、税务局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exact"/>
          <w:jc w:val="center"/>
        </w:trPr>
        <w:tc>
          <w:tcPr>
            <w:tcW w:w="164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五、协同推进医药服务供给侧改革</w:t>
            </w: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15.深化药品、医用耗材集中带量采购制度改革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市医保局、卫生健康委、财政局、市场监管局、广州公共资源交易中心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16.完善医药服务价格形成机制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市医保局、卫生健康委、市场监管局、广州公共资源交易中心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17.增强医药服务可及性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市卫生健康委、发展改革委、工业和信息化局、医保局、市场监管局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18.促进医疗服务能力提升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市卫生健康委、财政局、人力资源社会保障局、医保局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exact"/>
          <w:jc w:val="center"/>
        </w:trPr>
        <w:tc>
          <w:tcPr>
            <w:tcW w:w="164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六、优化医疗保障公共管理服务</w:t>
            </w: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19.全面提升医疗保障公共管理服务效能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市医保局、卫生健康委、政务服务数据管理局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20.高质量推进标准化和信息化建设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市医保局、卫生健康委、地方金融监管局、政务服务数据管理局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21.加强经办能力建设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市医保局、财政局、人力资源社会保障局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，各区人民政府。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  <w:jc w:val="center"/>
        </w:trPr>
        <w:tc>
          <w:tcPr>
            <w:tcW w:w="164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22.持续推进医保治理创新</w:t>
            </w:r>
          </w:p>
        </w:tc>
        <w:tc>
          <w:tcPr>
            <w:tcW w:w="412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市医保局、地方金融监管局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广东银保监局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。</w:t>
            </w:r>
          </w:p>
        </w:tc>
      </w:tr>
    </w:tbl>
    <w:p>
      <w:pPr>
        <w:spacing w:line="560" w:lineRule="exact"/>
        <w:jc w:val="left"/>
        <w:rPr>
          <w:rFonts w:eastAsia="黑体"/>
          <w:sz w:val="36"/>
          <w:szCs w:val="36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  <w:lang w:eastAsia="zh-CN"/>
        </w:rPr>
        <w:t>主动</w:t>
      </w:r>
      <w:r>
        <w:rPr>
          <w:rFonts w:eastAsia="仿宋_GB2312"/>
          <w:sz w:val="32"/>
          <w:szCs w:val="32"/>
        </w:rPr>
        <w:t>公开</w: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31"/>
      <w:rPr>
        <w:rStyle w:val="6"/>
        <w:rFonts w:hint="eastAsia"/>
        <w:sz w:val="28"/>
        <w:szCs w:val="28"/>
      </w:rPr>
    </w:pPr>
    <w:r>
      <w:rPr>
        <w:rStyle w:val="6"/>
        <w:rFonts w:hint="eastAsia"/>
        <w:color w:val="FFFFFF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32E40"/>
    <w:rsid w:val="08E3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宋体" w:hAnsi="宋体" w:eastAsia="汉鼎简书宋" w:cs="宋体"/>
      <w:sz w:val="24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"/>
    <w:basedOn w:val="1"/>
    <w:next w:val="1"/>
    <w:link w:val="4"/>
    <w:uiPriority w:val="0"/>
    <w:pPr>
      <w:spacing w:line="360" w:lineRule="auto"/>
      <w:ind w:firstLine="200" w:firstLineChars="200"/>
    </w:pPr>
    <w:rPr>
      <w:rFonts w:ascii="宋体" w:hAnsi="宋体" w:eastAsia="汉鼎简书宋" w:cs="宋体"/>
      <w:sz w:val="24"/>
    </w:rPr>
  </w:style>
  <w:style w:type="character" w:styleId="6">
    <w:name w:val="page number"/>
    <w:basedOn w:val="4"/>
    <w:uiPriority w:val="0"/>
  </w:style>
  <w:style w:type="character" w:customStyle="1" w:styleId="7">
    <w:name w:val="font2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2021-11-09T06:14:00Z</dcterms:created>
  <dc:creator>欧阳晓萌</dc:creator>
  <cp:lastModifiedBy>欧阳晓萌</cp:lastModifiedBy>
  <dcterms:modified xsi:type="dcterms:W3CDTF">2021-11-09T06:15:40Z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