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eastAsia="zh-CN"/>
        </w:rPr>
        <w:t>广州市国资委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eastAsia="zh-CN"/>
        </w:rPr>
        <w:t>政府信息公开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eastAsia="zh-CN"/>
        </w:rPr>
        <w:t>工作年度报告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2021年，我委深入贯彻落实《中华人民共和国政府信息公开条例》，遵循“以公开为常态，不公开为例外”的基本原则，结合广州市国资委工作实际，认真落实《广州市人民政府办公厅关于印发广州市2021年政务公开工作要点分工方案的通知 》文件精神，狠抓政务公开各项工作落实，不断提高政务工作透明度，强化政策解读，积极回应社会关切。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主动公开方面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2021年我委通过官方网站、微信公众号渠道主动公开信息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3427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条，其中：概况类信息5条，部门文件类信息4条，财政预决算信息9条，动态类信息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3236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条，其他信息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173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依申请公开方面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　 我委年度受理公民、其他组织提出的政府信息公开申请20宗（含上年结转政府信息公开申请数量3宗），其中：公民申请17宗，法人或其他组织3宗；办结20宗（同意公开6宗，部分公开1宗，本机关不掌握相关政府信息13宗；被行政复议1宗，其他结果），结转下年度办理0宗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政府信息管理方面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严格落实政府信息公开保密审核、日常指导和监督检查责任，不断完善政府信息公开制度机制，根据工作需要新增开设“党史学习教育”“法治政府建设”专题专栏，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 w:bidi="ar-SA"/>
        </w:rPr>
        <w:t>按照市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-SA"/>
        </w:rPr>
        <w:t>2021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 w:bidi="ar-SA"/>
        </w:rPr>
        <w:t>年政务公开工作要点分工要求，结合我委工作实际制定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-SA"/>
        </w:rPr>
        <w:t>2021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 w:bidi="ar-SA"/>
        </w:rPr>
        <w:t>年政务公开要点分工方案。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平台建设方面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我委网站按照政府网站集约化要求部署在统一平台。根据政府网站集约化建设要求，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我委将市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依申请公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 w:bidi="ar-SA"/>
        </w:rPr>
        <w:t>开政府信息网上受理平台迁移至省政府网站集约化平台，进一步升级信息公开平台办理功能，提升信息公开工作的效率。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监督保障方面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依托省政府网站集约化平台和市政数局委托第三方机构的评估通报，及时发现并查找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我委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-SA"/>
        </w:rPr>
        <w:t>网和政务新媒体等平台建设薄弱环节，提升整体政务公开工作质量。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 w:bidi="ar-SA"/>
        </w:rPr>
        <w:t>推进网站和新媒体内容保障责任分工落实，高频次做好日常巡检，开展季度网站和新媒体内容保障检查4次，不断扩充检查的内涵，现已构建包含国资动态、主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 w:bidi="ar-SA"/>
        </w:rPr>
        <w:t>动公开文件情况、重点领域信息公开情况等多个专项的全方位检查，从源头杜绝公开不及时不准确、问题信息上网等现象。</w:t>
      </w:r>
    </w:p>
    <w:p>
      <w:pPr>
        <w:shd w:val="solid" w:color="FFFFFF" w:fill="auto"/>
        <w:kinsoku/>
        <w:autoSpaceDE/>
        <w:autoSpaceDN w:val="0"/>
        <w:spacing w:line="432" w:lineRule="atLeast"/>
        <w:ind w:firstLine="640" w:firstLineChars="200"/>
        <w:jc w:val="both"/>
        <w:rPr>
          <w:rFonts w:hint="default" w:ascii="宋体" w:hAnsi="宋体" w:eastAsia="宋体"/>
          <w:b w:val="0"/>
          <w:i w:val="0"/>
          <w:snapToGrid/>
          <w:color w:val="333333"/>
          <w:sz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二、主动公开政府信息情况</w:t>
      </w:r>
    </w:p>
    <w:tbl>
      <w:tblPr>
        <w:tblStyle w:val="5"/>
        <w:tblW w:w="846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1768"/>
        <w:gridCol w:w="1503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6" w:hRule="atLeast"/>
          <w:jc w:val="center"/>
        </w:trPr>
        <w:tc>
          <w:tcPr>
            <w:tcW w:w="846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C6D9F1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C6D9F1"/>
                <w:lang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176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本年新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制作数量</w:t>
            </w:r>
          </w:p>
        </w:tc>
        <w:tc>
          <w:tcPr>
            <w:tcW w:w="150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本年废止件数</w:t>
            </w:r>
          </w:p>
        </w:tc>
        <w:tc>
          <w:tcPr>
            <w:tcW w:w="195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highlight w:val="none"/>
                <w:shd w:val="clear" w:color="auto" w:fill="FFFFFF"/>
                <w:lang w:eastAsia="zh-CN"/>
              </w:rPr>
              <w:t>规章</w:t>
            </w:r>
          </w:p>
        </w:tc>
        <w:tc>
          <w:tcPr>
            <w:tcW w:w="176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50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95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规范性文件</w:t>
            </w:r>
          </w:p>
        </w:tc>
        <w:tc>
          <w:tcPr>
            <w:tcW w:w="176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50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95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46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C6D9F1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C6D9F1"/>
                <w:lang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522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行政许可</w:t>
            </w:r>
          </w:p>
        </w:tc>
        <w:tc>
          <w:tcPr>
            <w:tcW w:w="176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50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95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46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C6D9F1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C6D9F1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522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行政处罚</w:t>
            </w:r>
          </w:p>
        </w:tc>
        <w:tc>
          <w:tcPr>
            <w:tcW w:w="522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行政强制</w:t>
            </w:r>
          </w:p>
        </w:tc>
        <w:tc>
          <w:tcPr>
            <w:tcW w:w="522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46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C6D9F1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C6D9F1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522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23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行政事业性收费</w:t>
            </w:r>
          </w:p>
        </w:tc>
        <w:tc>
          <w:tcPr>
            <w:tcW w:w="522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933" w:tblpY="639"/>
        <w:tblOverlap w:val="never"/>
        <w:tblW w:w="8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451"/>
        <w:gridCol w:w="1564"/>
        <w:gridCol w:w="1563"/>
        <w:gridCol w:w="606"/>
        <w:gridCol w:w="1"/>
        <w:gridCol w:w="725"/>
        <w:gridCol w:w="726"/>
        <w:gridCol w:w="2"/>
        <w:gridCol w:w="724"/>
        <w:gridCol w:w="1"/>
        <w:gridCol w:w="2"/>
        <w:gridCol w:w="736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58" w:type="dxa"/>
            <w:gridSpan w:val="3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744" w:type="dxa"/>
            <w:gridSpan w:val="11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458" w:type="dxa"/>
            <w:gridSpan w:val="3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63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自然人</w:t>
            </w:r>
          </w:p>
        </w:tc>
        <w:tc>
          <w:tcPr>
            <w:tcW w:w="3523" w:type="dxa"/>
            <w:gridSpan w:val="9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法人或其他组织</w:t>
            </w:r>
          </w:p>
        </w:tc>
        <w:tc>
          <w:tcPr>
            <w:tcW w:w="658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2458" w:type="dxa"/>
            <w:gridSpan w:val="3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商业企业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科研机构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社会公益组织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法律服务机构</w:t>
            </w:r>
          </w:p>
        </w:tc>
        <w:tc>
          <w:tcPr>
            <w:tcW w:w="73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其他</w:t>
            </w:r>
          </w:p>
        </w:tc>
        <w:tc>
          <w:tcPr>
            <w:tcW w:w="65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432" w:lineRule="atLeast"/>
              <w:ind w:leftChars="0" w:firstLine="0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458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一、本年新收政府信息公开申请数量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458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二、上年结转政府信息公开申请数量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3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三、本年度办理结果</w:t>
            </w:r>
          </w:p>
        </w:tc>
        <w:tc>
          <w:tcPr>
            <w:tcW w:w="201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（一）予以公开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（三）不予公开</w:t>
            </w: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1.属于国家秘密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2.其他法律行政法规禁止公开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3.危及“三安全一稳定”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4.保护第三方合法权益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5.属于三类内部事务信息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6.属于四类过程性信息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7.属于行政执法案卷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8.属于行政查询事项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（四）无法提供</w:t>
            </w: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1.本机关不掌握相关政府信息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2.没有现成信息需要另行制作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3.补正后申请内容仍不明确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（五）不予处理</w:t>
            </w: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1.信访举报投诉类申请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2.重复申请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3.要求提供公开出版物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4.无正当理由大量反复申请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5.要求行政机关确认或重新出具已获取信息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9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六）其他处理</w:t>
            </w: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1.申请人无正当理由逾期不补正、行政机关不再处理其政府信息公开申请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51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56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3.其他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4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（七）总计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60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458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left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四、结转下年度继续办理</w:t>
            </w:r>
          </w:p>
        </w:tc>
        <w:tc>
          <w:tcPr>
            <w:tcW w:w="156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0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27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5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hd w:val="solid" w:color="FFFFFF" w:fill="auto"/>
        <w:kinsoku/>
        <w:autoSpaceDE/>
        <w:autoSpaceDN w:val="0"/>
        <w:spacing w:line="432" w:lineRule="atLeast"/>
        <w:ind w:leftChars="0" w:firstLine="640" w:firstLineChars="200"/>
        <w:jc w:val="left"/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shd w:val="solid" w:color="FFFFFF" w:fill="auto"/>
        <w:kinsoku/>
        <w:autoSpaceDE/>
        <w:autoSpaceDN w:val="0"/>
        <w:spacing w:line="432" w:lineRule="atLeast"/>
        <w:ind w:leftChars="0" w:firstLine="640" w:firstLineChars="200"/>
        <w:jc w:val="left"/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highlight w:val="none"/>
          <w:shd w:val="clear" w:color="auto" w:fill="FFFFFF"/>
          <w:lang w:eastAsia="zh-CN"/>
        </w:rPr>
        <w:t>四、政府信息公开行政复议、行政诉讼情况</w:t>
      </w:r>
    </w:p>
    <w:tbl>
      <w:tblPr>
        <w:tblStyle w:val="5"/>
        <w:tblW w:w="8647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633"/>
        <w:gridCol w:w="518"/>
        <w:gridCol w:w="576"/>
        <w:gridCol w:w="576"/>
        <w:gridCol w:w="576"/>
        <w:gridCol w:w="576"/>
        <w:gridCol w:w="3"/>
        <w:gridCol w:w="573"/>
        <w:gridCol w:w="576"/>
        <w:gridCol w:w="576"/>
        <w:gridCol w:w="577"/>
        <w:gridCol w:w="577"/>
        <w:gridCol w:w="6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933" w:type="dxa"/>
            <w:gridSpan w:val="5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行政复议</w:t>
            </w:r>
          </w:p>
        </w:tc>
        <w:tc>
          <w:tcPr>
            <w:tcW w:w="5714" w:type="dxa"/>
            <w:gridSpan w:val="1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0" w:hRule="atLeast"/>
          <w:jc w:val="center"/>
        </w:trPr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633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2825" w:type="dxa"/>
            <w:gridSpan w:val="6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未经复议直接起诉</w:t>
            </w:r>
          </w:p>
        </w:tc>
        <w:tc>
          <w:tcPr>
            <w:tcW w:w="2885" w:type="dxa"/>
            <w:gridSpan w:val="6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" w:type="dxa"/>
          <w:trHeight w:val="1726" w:hRule="atLeast"/>
          <w:jc w:val="center"/>
        </w:trPr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633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1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57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57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" w:type="dxa"/>
          <w:trHeight w:val="0" w:hRule="atLeast"/>
          <w:jc w:val="center"/>
        </w:trPr>
        <w:tc>
          <w:tcPr>
            <w:tcW w:w="5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5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5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63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1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57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7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7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after="180" w:afterLines="0" w:line="432" w:lineRule="atLeast"/>
              <w:ind w:leftChars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宋体" w:hAnsi="宋体" w:eastAsia="宋体"/>
          <w:b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年，我委认真推进政务公开各项工作，但面对政务公开的新形势新要求，还存在一些不足。一是我委政务公开工作组织保障和队伍建设还需加强。二是政策解读方式多样性和解读效果质量还需提升。三是委网站栏目设置方面还不尽合理，在利用新媒体开展政务公开方面还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年，我委将继续贯彻落实《条例》各项规定，中央、省、市关于政府信息公开各项决策部署，进一步提升政务公开工作水平。一是强化组织保障，通过健全完善政务公开工作责任人网络、扎实开展培训、督办和检查，构建强有力的政务公开工作队伍。二是深化政策解读，努力推广图表图解、视频动漫、流程演示、新闻发布会等通俗易懂的解读方式，提升解读效果。三是优化平台建设，网站栏目设置更加合理规范，发挥好委网站作为政务公开第一平台的作用；充分利用新媒体传播特点，增强政民互动，及时回应社会关切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宋体" w:hAnsi="宋体" w:eastAsia="宋体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宋体" w:hAnsi="宋体" w:eastAsia="宋体"/>
          <w:b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dr w:val="none" w:color="auto" w:sz="0" w:space="0"/>
        </w:rPr>
        <w:t>　</w:t>
      </w:r>
      <w:r>
        <w:rPr>
          <w:rFonts w:hint="eastAsia"/>
          <w:bdr w:val="none" w:color="auto" w:sz="0" w:space="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i w:val="0"/>
          <w:snapToGrid/>
          <w:color w:val="333333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333333"/>
          <w:kern w:val="2"/>
          <w:sz w:val="32"/>
          <w:szCs w:val="32"/>
          <w:shd w:val="clear" w:color="auto" w:fill="FFFFFF"/>
          <w:lang w:val="en-US" w:eastAsia="zh-CN"/>
        </w:rPr>
        <w:t>我委严格按规定执行落实《政府信息公开信息处理费管理办法》，2021年没有计收申请人信息处理费的情况。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numPr>
          <w:ilvl w:val="0"/>
          <w:numId w:val="0"/>
        </w:numPr>
        <w:ind w:leftChars="0"/>
        <w:rPr>
          <w:rFonts w:hint="default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B275FC"/>
    <w:multiLevelType w:val="singleLevel"/>
    <w:tmpl w:val="F4B275FC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67FBD"/>
    <w:rsid w:val="015D7385"/>
    <w:rsid w:val="05D62113"/>
    <w:rsid w:val="0A1340FA"/>
    <w:rsid w:val="104D29CB"/>
    <w:rsid w:val="119C64B0"/>
    <w:rsid w:val="11CC77C5"/>
    <w:rsid w:val="145E07C8"/>
    <w:rsid w:val="1C667FBD"/>
    <w:rsid w:val="1DDB2D6C"/>
    <w:rsid w:val="21D0666E"/>
    <w:rsid w:val="29804E60"/>
    <w:rsid w:val="2BC8601E"/>
    <w:rsid w:val="32AA1A14"/>
    <w:rsid w:val="3D3E48B8"/>
    <w:rsid w:val="3FCF2A54"/>
    <w:rsid w:val="40C175B1"/>
    <w:rsid w:val="4B8B261B"/>
    <w:rsid w:val="53C813B8"/>
    <w:rsid w:val="54427C7E"/>
    <w:rsid w:val="547D62AD"/>
    <w:rsid w:val="55493F46"/>
    <w:rsid w:val="5A8A3268"/>
    <w:rsid w:val="5E66361B"/>
    <w:rsid w:val="61D1176D"/>
    <w:rsid w:val="62A025DA"/>
    <w:rsid w:val="649A4686"/>
    <w:rsid w:val="68BC1549"/>
    <w:rsid w:val="6ED94202"/>
    <w:rsid w:val="6F6D70DC"/>
    <w:rsid w:val="770C592C"/>
    <w:rsid w:val="7EB2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first-child"/>
    <w:basedOn w:val="6"/>
    <w:qFormat/>
    <w:uiPriority w:val="0"/>
  </w:style>
  <w:style w:type="character" w:customStyle="1" w:styleId="10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2020-01-21T06:32:00Z</dcterms:created>
  <dc:creator>宋宝如</dc:creator>
  <cp:lastModifiedBy>詹丽莎</cp:lastModifiedBy>
  <dcterms:modified xsi:type="dcterms:W3CDTF">2022-03-18T08:58:47Z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