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方正小标宋简体"/>
          <w:color w:val="000000"/>
          <w:sz w:val="32"/>
          <w:szCs w:val="32"/>
        </w:rPr>
      </w:pPr>
      <w:r>
        <w:rPr>
          <w:rFonts w:hint="eastAsia" w:eastAsia="方正小标宋简体"/>
          <w:color w:val="000000"/>
          <w:sz w:val="32"/>
          <w:szCs w:val="32"/>
        </w:rPr>
        <w:t>广州市市场监督管理局家用燃气热水器产品</w:t>
      </w:r>
    </w:p>
    <w:p>
      <w:pPr>
        <w:adjustRightInd w:val="0"/>
        <w:snapToGrid w:val="0"/>
        <w:spacing w:line="360" w:lineRule="auto"/>
        <w:jc w:val="center"/>
        <w:rPr>
          <w:rFonts w:eastAsia="方正小标宋简体"/>
          <w:color w:val="000000"/>
          <w:sz w:val="32"/>
          <w:szCs w:val="32"/>
        </w:rPr>
      </w:pPr>
      <w:r>
        <w:rPr>
          <w:rFonts w:hint="eastAsia" w:eastAsia="方正小标宋简体"/>
          <w:color w:val="000000"/>
          <w:sz w:val="32"/>
          <w:szCs w:val="32"/>
        </w:rPr>
        <w:t>质量监督抽查实施细则</w:t>
      </w:r>
    </w:p>
    <w:p>
      <w:pPr>
        <w:adjustRightInd w:val="0"/>
        <w:snapToGrid w:val="0"/>
        <w:spacing w:before="156" w:beforeLines="50" w:after="156" w:afterLines="50" w:line="360" w:lineRule="auto"/>
        <w:rPr>
          <w:rFonts w:asciiTheme="minorEastAsia" w:hAnsiTheme="minorEastAsia" w:eastAsiaTheme="minorEastAsia"/>
        </w:rPr>
      </w:pPr>
      <w:r>
        <w:rPr>
          <w:rFonts w:hint="eastAsia" w:asciiTheme="minorEastAsia" w:hAnsiTheme="minorEastAsia" w:eastAsiaTheme="minorEastAsia"/>
        </w:rPr>
        <w:t>1.抽样方法</w:t>
      </w:r>
    </w:p>
    <w:p>
      <w:pPr>
        <w:adjustRightInd w:val="0"/>
        <w:snapToGrid w:val="0"/>
        <w:spacing w:line="360" w:lineRule="auto"/>
        <w:ind w:firstLine="420"/>
        <w:rPr>
          <w:color w:val="000000"/>
        </w:rPr>
      </w:pPr>
      <w:r>
        <w:rPr>
          <w:rFonts w:hint="eastAsia" w:asciiTheme="minorEastAsia" w:hAnsiTheme="minorEastAsia" w:eastAsiaTheme="minorEastAsia"/>
          <w:color w:val="000000"/>
        </w:rPr>
        <w:t>以随机抽样的方式在被</w:t>
      </w:r>
      <w:bookmarkStart w:id="0" w:name="_GoBack"/>
      <w:bookmarkEnd w:id="0"/>
      <w:r>
        <w:rPr>
          <w:rFonts w:hint="eastAsia" w:asciiTheme="minorEastAsia" w:hAnsiTheme="minorEastAsia" w:eastAsiaTheme="minorEastAsia"/>
          <w:color w:val="000000"/>
        </w:rPr>
        <w:t>抽样生产者、销售者的待销产品中抽取。</w:t>
      </w:r>
      <w:r>
        <w:rPr>
          <w:color w:val="000000"/>
        </w:rPr>
        <w:t>抽查样品基数满足抽样数量即可。</w:t>
      </w:r>
    </w:p>
    <w:p>
      <w:pPr>
        <w:adjustRightInd w:val="0"/>
        <w:snapToGrid w:val="0"/>
        <w:spacing w:line="360" w:lineRule="auto"/>
        <w:ind w:firstLine="420"/>
        <w:rPr>
          <w:rFonts w:asciiTheme="minorEastAsia" w:hAnsiTheme="minorEastAsia" w:eastAsiaTheme="minorEastAsia"/>
          <w:color w:val="000000"/>
        </w:rPr>
      </w:pPr>
      <w:r>
        <w:rPr>
          <w:rFonts w:hint="eastAsia" w:asciiTheme="minorEastAsia" w:hAnsiTheme="minorEastAsia" w:eastAsiaTheme="minorEastAsia"/>
          <w:color w:val="000000"/>
        </w:rPr>
        <w:t>在生产企业抽样，每批次抽4台样品，其中2台作为检验样品，另2台作为备用样品。检验样品带回承检机构，备用样品封样后留存在生产企业。同一企业抽取样品不得超过2批次。</w:t>
      </w:r>
    </w:p>
    <w:p>
      <w:pPr>
        <w:adjustRightInd w:val="0"/>
        <w:snapToGrid w:val="0"/>
        <w:spacing w:line="360" w:lineRule="auto"/>
        <w:ind w:firstLine="420" w:firstLineChars="200"/>
        <w:rPr>
          <w:rFonts w:hint="eastAsia" w:eastAsia="宋体" w:asciiTheme="minorEastAsia" w:hAnsiTheme="minorEastAsia"/>
          <w:color w:val="000000"/>
          <w:highlight w:val="green"/>
          <w:lang w:eastAsia="zh-CN"/>
        </w:rPr>
      </w:pPr>
      <w:r>
        <w:rPr>
          <w:rFonts w:hint="eastAsia" w:ascii="宋体" w:hAnsi="宋体" w:cs="宋体"/>
          <w:szCs w:val="21"/>
          <w:highlight w:val="none"/>
        </w:rPr>
        <w:t>在流通环节抽样每批次抽2台样品，其中1台作为检验样品，另1台作为备用样品，检验样品和备用样品封存后带回承检机构。同一销售商抽取样品不得超过3批次</w:t>
      </w:r>
      <w:r>
        <w:rPr>
          <w:rFonts w:hint="eastAsia" w:ascii="宋体" w:hAnsi="宋体" w:cs="宋体"/>
          <w:szCs w:val="21"/>
          <w:highlight w:val="none"/>
          <w:lang w:eastAsia="zh-CN"/>
        </w:rPr>
        <w:t>。</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随机数一般可使用随机数表</w:t>
      </w:r>
      <w:r>
        <w:rPr>
          <w:color w:val="000000"/>
        </w:rPr>
        <w:t>、随机数骰子或扑克牌等</w:t>
      </w:r>
      <w:r>
        <w:rPr>
          <w:rFonts w:hint="eastAsia" w:asciiTheme="minorEastAsia" w:hAnsiTheme="minorEastAsia" w:eastAsiaTheme="minorEastAsia"/>
          <w:color w:val="000000"/>
        </w:rPr>
        <w:t>方法产生</w:t>
      </w:r>
      <w:r>
        <w:rPr>
          <w:rFonts w:asciiTheme="minorEastAsia" w:hAnsiTheme="minorEastAsia" w:eastAsiaTheme="minorEastAsia"/>
          <w:color w:val="000000"/>
        </w:rPr>
        <w:t>。</w:t>
      </w:r>
    </w:p>
    <w:p>
      <w:pPr>
        <w:adjustRightInd w:val="0"/>
        <w:snapToGrid w:val="0"/>
        <w:spacing w:before="156" w:beforeLines="50" w:after="156" w:afterLines="50" w:line="360" w:lineRule="auto"/>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检验依据</w:t>
      </w:r>
    </w:p>
    <w:p>
      <w:pPr>
        <w:adjustRightInd w:val="0"/>
        <w:snapToGrid w:val="0"/>
        <w:spacing w:line="360" w:lineRule="auto"/>
        <w:ind w:firstLine="424" w:firstLineChars="202"/>
        <w:rPr>
          <w:rFonts w:asciiTheme="minorEastAsia" w:hAnsiTheme="minorEastAsia" w:eastAsiaTheme="minorEastAsia"/>
          <w:color w:val="000000"/>
        </w:rPr>
      </w:pPr>
      <w:r>
        <w:rPr>
          <w:rFonts w:asciiTheme="minorEastAsia" w:hAnsiTheme="minorEastAsia" w:eastAsiaTheme="minorEastAsia"/>
          <w:color w:val="000000"/>
        </w:rPr>
        <w:t>本次抽查检验项目和检验方法依据见表1。</w:t>
      </w:r>
    </w:p>
    <w:p>
      <w:pPr>
        <w:adjustRightInd w:val="0"/>
        <w:snapToGrid w:val="0"/>
        <w:spacing w:line="360" w:lineRule="auto"/>
        <w:jc w:val="center"/>
        <w:rPr>
          <w:rFonts w:asciiTheme="minorEastAsia" w:hAnsiTheme="minorEastAsia" w:eastAsiaTheme="minorEastAsia"/>
          <w:color w:val="000000"/>
        </w:rPr>
      </w:pPr>
      <w:r>
        <w:rPr>
          <w:rFonts w:hint="eastAsia" w:asciiTheme="minorEastAsia" w:hAnsiTheme="minorEastAsia" w:eastAsiaTheme="minorEastAsia"/>
          <w:color w:val="000000"/>
        </w:rPr>
        <w:t>表1检验项目</w:t>
      </w:r>
    </w:p>
    <w:tbl>
      <w:tblPr>
        <w:tblStyle w:val="7"/>
        <w:tblW w:w="9845" w:type="dxa"/>
        <w:tblInd w:w="0" w:type="dxa"/>
        <w:tblLayout w:type="fixed"/>
        <w:tblCellMar>
          <w:top w:w="0" w:type="dxa"/>
          <w:left w:w="108" w:type="dxa"/>
          <w:bottom w:w="0" w:type="dxa"/>
          <w:right w:w="108" w:type="dxa"/>
        </w:tblCellMar>
      </w:tblPr>
      <w:tblGrid>
        <w:gridCol w:w="823"/>
        <w:gridCol w:w="2755"/>
        <w:gridCol w:w="1991"/>
        <w:gridCol w:w="2167"/>
        <w:gridCol w:w="1054"/>
        <w:gridCol w:w="1055"/>
      </w:tblGrid>
      <w:tr>
        <w:tblPrEx>
          <w:tblCellMar>
            <w:top w:w="0" w:type="dxa"/>
            <w:left w:w="108" w:type="dxa"/>
            <w:bottom w:w="0" w:type="dxa"/>
            <w:right w:w="108" w:type="dxa"/>
          </w:tblCellMar>
        </w:tblPrEx>
        <w:trPr>
          <w:trHeight w:val="401" w:hRule="atLeast"/>
        </w:trPr>
        <w:tc>
          <w:tcPr>
            <w:tcW w:w="823" w:type="dxa"/>
            <w:vMerge w:val="restart"/>
            <w:tcBorders>
              <w:top w:val="single" w:color="auto" w:sz="4" w:space="0"/>
              <w:left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序号</w:t>
            </w:r>
          </w:p>
        </w:tc>
        <w:tc>
          <w:tcPr>
            <w:tcW w:w="2755" w:type="dxa"/>
            <w:vMerge w:val="restart"/>
            <w:tcBorders>
              <w:top w:val="single" w:color="auto" w:sz="4" w:space="0"/>
              <w:left w:val="nil"/>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检验项目</w:t>
            </w:r>
          </w:p>
        </w:tc>
        <w:tc>
          <w:tcPr>
            <w:tcW w:w="1991" w:type="dxa"/>
            <w:vMerge w:val="restart"/>
            <w:tcBorders>
              <w:top w:val="single" w:color="auto" w:sz="4" w:space="0"/>
              <w:left w:val="nil"/>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检验依据</w:t>
            </w:r>
          </w:p>
        </w:tc>
        <w:tc>
          <w:tcPr>
            <w:tcW w:w="2167" w:type="dxa"/>
            <w:vMerge w:val="restart"/>
            <w:tcBorders>
              <w:top w:val="single" w:color="auto" w:sz="4" w:space="0"/>
              <w:left w:val="nil"/>
              <w:right w:val="single" w:color="auto" w:sz="4" w:space="0"/>
            </w:tcBorders>
            <w:vAlign w:val="center"/>
          </w:tcPr>
          <w:p>
            <w:pPr>
              <w:snapToGrid w:val="0"/>
              <w:jc w:val="center"/>
              <w:rPr>
                <w:rFonts w:cs="仿宋" w:asciiTheme="minorEastAsia" w:hAnsiTheme="minorEastAsia" w:eastAsiaTheme="minorEastAsia"/>
              </w:rPr>
            </w:pPr>
            <w:r>
              <w:rPr>
                <w:rFonts w:hint="eastAsia" w:cs="仿宋" w:asciiTheme="minorEastAsia" w:hAnsiTheme="minorEastAsia" w:eastAsiaTheme="minorEastAsia"/>
              </w:rPr>
              <w:t>检验方法</w:t>
            </w:r>
          </w:p>
        </w:tc>
        <w:tc>
          <w:tcPr>
            <w:tcW w:w="210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rPr>
            </w:pPr>
            <w:r>
              <w:rPr>
                <w:rFonts w:ascii="宋体" w:hAnsi="宋体" w:cs="仿宋"/>
                <w:b/>
                <w:lang w:bidi="ar"/>
              </w:rPr>
              <w:t>重要程度分类</w:t>
            </w:r>
          </w:p>
        </w:tc>
      </w:tr>
      <w:tr>
        <w:tblPrEx>
          <w:tblCellMar>
            <w:top w:w="0" w:type="dxa"/>
            <w:left w:w="108" w:type="dxa"/>
            <w:bottom w:w="0" w:type="dxa"/>
            <w:right w:w="108" w:type="dxa"/>
          </w:tblCellMar>
        </w:tblPrEx>
        <w:trPr>
          <w:trHeight w:val="406" w:hRule="atLeast"/>
        </w:trPr>
        <w:tc>
          <w:tcPr>
            <w:tcW w:w="823" w:type="dxa"/>
            <w:vMerge w:val="continue"/>
            <w:tcBorders>
              <w:left w:val="single" w:color="auto" w:sz="4" w:space="0"/>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2755" w:type="dxa"/>
            <w:vMerge w:val="continue"/>
            <w:tcBorders>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1991" w:type="dxa"/>
            <w:vMerge w:val="continue"/>
            <w:tcBorders>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2167" w:type="dxa"/>
            <w:vMerge w:val="continue"/>
            <w:tcBorders>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1054" w:type="dxa"/>
            <w:tcBorders>
              <w:top w:val="single" w:color="auto" w:sz="4" w:space="0"/>
              <w:left w:val="nil"/>
              <w:bottom w:val="single" w:color="auto" w:sz="4" w:space="0"/>
              <w:right w:val="single" w:color="auto" w:sz="4" w:space="0"/>
            </w:tcBorders>
            <w:vAlign w:val="center"/>
          </w:tcPr>
          <w:p>
            <w:pPr>
              <w:adjustRightInd w:val="0"/>
              <w:snapToGrid w:val="0"/>
              <w:jc w:val="center"/>
              <w:rPr>
                <w:rFonts w:cs="仿宋" w:asciiTheme="minorEastAsia" w:hAnsiTheme="minorEastAsia" w:eastAsiaTheme="minorEastAsia"/>
              </w:rPr>
            </w:pPr>
            <w:r>
              <w:rPr>
                <w:rFonts w:eastAsiaTheme="minorEastAsia"/>
                <w:b/>
                <w:color w:val="000000"/>
              </w:rPr>
              <w:t>A类</w:t>
            </w:r>
            <w:r>
              <w:rPr>
                <w:rFonts w:eastAsiaTheme="minorEastAsia"/>
                <w:b/>
                <w:color w:val="000000"/>
                <w:vertAlign w:val="superscript"/>
              </w:rPr>
              <w:t>a</w:t>
            </w:r>
          </w:p>
        </w:tc>
        <w:tc>
          <w:tcPr>
            <w:tcW w:w="1055"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eastAsiaTheme="minorEastAsia"/>
                <w:b/>
                <w:color w:val="000000"/>
              </w:rPr>
              <w:t>B</w:t>
            </w:r>
            <w:r>
              <w:rPr>
                <w:rFonts w:eastAsiaTheme="minorEastAsia"/>
                <w:b/>
                <w:color w:val="000000"/>
              </w:rPr>
              <w:t>类</w:t>
            </w:r>
            <w:r>
              <w:rPr>
                <w:rFonts w:hint="eastAsia" w:eastAsiaTheme="minorEastAsia"/>
                <w:b/>
                <w:color w:val="000000"/>
                <w:vertAlign w:val="superscript"/>
              </w:rPr>
              <w:t>b</w:t>
            </w: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_GB2312" w:cs="仿宋_GB2312"/>
              </w:rPr>
            </w:pPr>
            <w:r>
              <w:rPr>
                <w:rFonts w:hint="eastAsia" w:ascii="仿宋_GB2312" w:hAnsi="仿宋_GB2312" w:cs="仿宋_GB2312"/>
                <w:lang w:bidi="ar"/>
              </w:rPr>
              <w:t>燃气系统气密性</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表11</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adjustRightInd w:val="0"/>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_GB2312" w:cs="仿宋_GB2312"/>
                <w:lang w:bidi="ar"/>
              </w:rPr>
            </w:pPr>
            <w:r>
              <w:rPr>
                <w:rFonts w:hint="eastAsia" w:ascii="仿宋_GB2312" w:hAnsi="仿宋_GB2312" w:cs="仿宋_GB2312"/>
                <w:lang w:bidi="ar"/>
              </w:rPr>
              <w:t>热负荷限制</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表12</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1055"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火焰稳定性</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表13</w:t>
            </w:r>
          </w:p>
        </w:tc>
        <w:tc>
          <w:tcPr>
            <w:tcW w:w="1054" w:type="dxa"/>
            <w:tcBorders>
              <w:top w:val="single" w:color="auto" w:sz="4" w:space="0"/>
              <w:left w:val="nil"/>
              <w:bottom w:val="single" w:color="auto" w:sz="4" w:space="0"/>
              <w:right w:val="single" w:color="auto" w:sz="4" w:space="0"/>
            </w:tcBorders>
            <w:vAlign w:val="center"/>
          </w:tcPr>
          <w:p>
            <w:pPr>
              <w:snapToGrid w:val="0"/>
              <w:jc w:val="cente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_GB2312" w:cs="仿宋_GB2312"/>
              </w:rPr>
            </w:pPr>
            <w:r>
              <w:rPr>
                <w:rFonts w:hint="eastAsia" w:ascii="仿宋_GB2312" w:hAnsi="仿宋_GB2312" w:cs="仿宋_GB2312"/>
                <w:lang w:bidi="ar"/>
              </w:rPr>
              <w:t>无风状态烟气中CO含量ψ（CO</w:t>
            </w:r>
            <w:r>
              <w:rPr>
                <w:rFonts w:hint="eastAsia" w:ascii="仿宋_GB2312" w:hAnsi="仿宋_GB2312" w:cs="仿宋_GB2312"/>
                <w:vertAlign w:val="subscript"/>
                <w:lang w:bidi="ar"/>
              </w:rPr>
              <w:t>α=1</w:t>
            </w:r>
            <w:r>
              <w:rPr>
                <w:rFonts w:hint="eastAsia" w:ascii="仿宋_GB2312" w:hAnsi="仿宋_GB2312" w:cs="仿宋_GB2312"/>
                <w:lang w:bidi="ar"/>
              </w:rPr>
              <w:t>）</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表13</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_GB2312" w:cs="仿宋_GB2312"/>
              </w:rPr>
            </w:pPr>
            <w:r>
              <w:rPr>
                <w:rFonts w:hint="eastAsia" w:ascii="仿宋_GB2312" w:hAnsi="仿宋_GB2312" w:cs="仿宋_GB2312"/>
                <w:lang w:bidi="ar"/>
              </w:rPr>
              <w:t>熄火保护装置</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表25</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烟道堵塞安全装置（强制排气式）</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表25</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风压过大安全装置（强制排气式）</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表25</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防干烧安全装置</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表25</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防止不完全燃烧安全装置（自然排气式）</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表25</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接地措施</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C.14</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C.14</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工作温度下的泄漏电流和电气强度</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C.7</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C.7</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r>
              <w:rPr>
                <w:rFonts w:hint="eastAsia" w:ascii="宋体" w:hAnsi="宋体" w:cs="仿宋"/>
                <w:lang w:bidi="ar"/>
              </w:rPr>
              <w:t>●</w:t>
            </w:r>
          </w:p>
        </w:tc>
        <w:tc>
          <w:tcPr>
            <w:tcW w:w="1055" w:type="dxa"/>
            <w:tcBorders>
              <w:top w:val="single" w:color="auto" w:sz="4" w:space="0"/>
              <w:left w:val="nil"/>
              <w:bottom w:val="single" w:color="auto" w:sz="4" w:space="0"/>
              <w:right w:val="single" w:color="auto" w:sz="4" w:space="0"/>
            </w:tcBorders>
            <w:vAlign w:val="center"/>
          </w:tcPr>
          <w:p>
            <w:pPr>
              <w:snapToGrid w:val="0"/>
              <w:jc w:val="center"/>
            </w:pP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热效率</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20665-2015</w:t>
            </w:r>
            <w:r>
              <w:rPr>
                <w:rFonts w:hint="eastAsia" w:cs="仿宋" w:asciiTheme="minorEastAsia" w:hAnsiTheme="minorEastAsia" w:eastAsiaTheme="minorEastAsia"/>
              </w:rPr>
              <w:t xml:space="preserve"> 中4.2</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20665-2015</w:t>
            </w:r>
            <w:r>
              <w:rPr>
                <w:rFonts w:hint="eastAsia" w:cs="仿宋" w:asciiTheme="minorEastAsia" w:hAnsiTheme="minorEastAsia" w:eastAsiaTheme="minorEastAsia"/>
              </w:rPr>
              <w:t>中5.1</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1055" w:type="dxa"/>
            <w:tcBorders>
              <w:top w:val="single" w:color="auto" w:sz="4" w:space="0"/>
              <w:left w:val="nil"/>
              <w:bottom w:val="single" w:color="auto" w:sz="4" w:space="0"/>
              <w:right w:val="single" w:color="auto" w:sz="4" w:space="0"/>
            </w:tcBorders>
            <w:vAlign w:val="center"/>
          </w:tcPr>
          <w:p>
            <w:pPr>
              <w:snapToGrid w:val="0"/>
              <w:jc w:val="center"/>
            </w:pPr>
            <w:r>
              <w:rPr>
                <w:rFonts w:hint="eastAsia" w:ascii="宋体" w:hAnsi="宋体" w:cs="仿宋"/>
                <w:lang w:bidi="ar"/>
              </w:rPr>
              <w:t>●</w:t>
            </w: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rPr>
            </w:pPr>
            <w:r>
              <w:rPr>
                <w:rFonts w:hint="eastAsia" w:ascii="仿宋_GB2312" w:hAnsi="仿宋_GB2312" w:cs="仿宋_GB2312"/>
                <w:lang w:bidi="ar"/>
              </w:rPr>
              <w:t>热水产率</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表6</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表 27</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1055" w:type="dxa"/>
            <w:tcBorders>
              <w:top w:val="single" w:color="auto" w:sz="4" w:space="0"/>
              <w:left w:val="nil"/>
              <w:bottom w:val="single" w:color="auto" w:sz="4" w:space="0"/>
              <w:right w:val="single" w:color="auto" w:sz="4" w:space="0"/>
            </w:tcBorders>
            <w:vAlign w:val="center"/>
          </w:tcPr>
          <w:p>
            <w:pPr>
              <w:snapToGrid w:val="0"/>
              <w:jc w:val="center"/>
            </w:pPr>
            <w:r>
              <w:rPr>
                <w:rFonts w:hint="eastAsia" w:ascii="宋体" w:hAnsi="宋体" w:cs="仿宋"/>
                <w:lang w:bidi="ar"/>
              </w:rPr>
              <w:t>●</w:t>
            </w:r>
          </w:p>
        </w:tc>
      </w:tr>
      <w:tr>
        <w:tblPrEx>
          <w:tblCellMar>
            <w:top w:w="0" w:type="dxa"/>
            <w:left w:w="108" w:type="dxa"/>
            <w:bottom w:w="0" w:type="dxa"/>
            <w:right w:w="108" w:type="dxa"/>
          </w:tblCellMar>
        </w:tblPrEx>
        <w:trPr>
          <w:trHeight w:val="454" w:hRule="atLeast"/>
        </w:trPr>
        <w:tc>
          <w:tcPr>
            <w:tcW w:w="82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napToGrid w:val="0"/>
              <w:ind w:firstLineChars="0"/>
              <w:jc w:val="right"/>
              <w:rPr>
                <w:rFonts w:cs="仿宋" w:asciiTheme="minorEastAsia" w:hAnsiTheme="minorEastAsia" w:eastAsiaTheme="minorEastAsia"/>
              </w:rPr>
            </w:pPr>
          </w:p>
        </w:tc>
        <w:tc>
          <w:tcPr>
            <w:tcW w:w="2755" w:type="dxa"/>
            <w:tcBorders>
              <w:top w:val="single" w:color="auto" w:sz="4" w:space="0"/>
              <w:left w:val="nil"/>
              <w:bottom w:val="single" w:color="auto" w:sz="4" w:space="0"/>
              <w:right w:val="single" w:color="auto" w:sz="4" w:space="0"/>
            </w:tcBorders>
            <w:vAlign w:val="center"/>
          </w:tcPr>
          <w:p>
            <w:pPr>
              <w:snapToGrid w:val="0"/>
              <w:jc w:val="left"/>
              <w:rPr>
                <w:rFonts w:ascii="仿宋_GB2312" w:hAnsi="仿宋_GB2312" w:cs="仿宋_GB2312"/>
                <w:lang w:bidi="ar"/>
              </w:rPr>
            </w:pPr>
            <w:r>
              <w:rPr>
                <w:rFonts w:hint="eastAsia" w:ascii="仿宋_GB2312" w:hAnsi="仿宋_GB2312" w:cs="仿宋_GB2312"/>
                <w:lang w:bidi="ar"/>
              </w:rPr>
              <w:t>铭牌、安全注意事项</w:t>
            </w:r>
          </w:p>
        </w:tc>
        <w:tc>
          <w:tcPr>
            <w:tcW w:w="1991"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中9.1.1、9.1.2</w:t>
            </w:r>
          </w:p>
        </w:tc>
        <w:tc>
          <w:tcPr>
            <w:tcW w:w="2167" w:type="dxa"/>
            <w:tcBorders>
              <w:top w:val="single" w:color="auto" w:sz="4" w:space="0"/>
              <w:left w:val="nil"/>
              <w:bottom w:val="single" w:color="auto" w:sz="4" w:space="0"/>
              <w:right w:val="single" w:color="auto" w:sz="4" w:space="0"/>
            </w:tcBorders>
            <w:vAlign w:val="center"/>
          </w:tcPr>
          <w:p>
            <w:pPr>
              <w:snapToGrid w:val="0"/>
              <w:rPr>
                <w:rFonts w:cs="仿宋" w:asciiTheme="minorEastAsia" w:hAnsiTheme="minorEastAsia" w:eastAsiaTheme="minorEastAsia"/>
              </w:rPr>
            </w:pPr>
            <w:r>
              <w:rPr>
                <w:rFonts w:cs="仿宋" w:asciiTheme="minorEastAsia" w:hAnsiTheme="minorEastAsia" w:eastAsiaTheme="minorEastAsia"/>
              </w:rPr>
              <w:t>GB 6932-2015</w:t>
            </w:r>
            <w:r>
              <w:rPr>
                <w:rFonts w:hint="eastAsia" w:cs="仿宋" w:asciiTheme="minorEastAsia" w:hAnsiTheme="minorEastAsia" w:eastAsiaTheme="minorEastAsia"/>
              </w:rPr>
              <w:t xml:space="preserve"> 视检</w:t>
            </w:r>
          </w:p>
        </w:tc>
        <w:tc>
          <w:tcPr>
            <w:tcW w:w="1054" w:type="dxa"/>
            <w:tcBorders>
              <w:top w:val="single" w:color="auto" w:sz="4" w:space="0"/>
              <w:left w:val="nil"/>
              <w:bottom w:val="single" w:color="auto" w:sz="4" w:space="0"/>
              <w:right w:val="single" w:color="auto" w:sz="4" w:space="0"/>
            </w:tcBorders>
            <w:vAlign w:val="center"/>
          </w:tcPr>
          <w:p>
            <w:pPr>
              <w:snapToGrid w:val="0"/>
              <w:jc w:val="center"/>
              <w:rPr>
                <w:rFonts w:cs="仿宋" w:asciiTheme="minorEastAsia" w:hAnsiTheme="minorEastAsia" w:eastAsiaTheme="minorEastAsia"/>
              </w:rPr>
            </w:pPr>
          </w:p>
        </w:tc>
        <w:tc>
          <w:tcPr>
            <w:tcW w:w="1055" w:type="dxa"/>
            <w:tcBorders>
              <w:top w:val="single" w:color="auto" w:sz="4" w:space="0"/>
              <w:left w:val="nil"/>
              <w:bottom w:val="single" w:color="auto" w:sz="4" w:space="0"/>
              <w:right w:val="single" w:color="auto" w:sz="4" w:space="0"/>
            </w:tcBorders>
            <w:vAlign w:val="center"/>
          </w:tcPr>
          <w:p>
            <w:pPr>
              <w:snapToGrid w:val="0"/>
              <w:jc w:val="center"/>
            </w:pPr>
            <w:r>
              <w:rPr>
                <w:rFonts w:hint="eastAsia" w:ascii="宋体" w:hAnsi="宋体" w:cs="仿宋"/>
                <w:lang w:bidi="ar"/>
              </w:rPr>
              <w:t>●</w:t>
            </w:r>
          </w:p>
        </w:tc>
      </w:tr>
      <w:tr>
        <w:tblPrEx>
          <w:tblCellMar>
            <w:top w:w="0" w:type="dxa"/>
            <w:left w:w="108" w:type="dxa"/>
            <w:bottom w:w="0" w:type="dxa"/>
            <w:right w:w="108" w:type="dxa"/>
          </w:tblCellMar>
        </w:tblPrEx>
        <w:trPr>
          <w:trHeight w:val="812" w:hRule="atLeast"/>
        </w:trPr>
        <w:tc>
          <w:tcPr>
            <w:tcW w:w="8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lang w:bidi="ar"/>
              </w:rPr>
            </w:pPr>
            <w:r>
              <w:rPr>
                <w:rFonts w:hint="eastAsia" w:ascii="仿宋_GB2312" w:hAnsi="仿宋_GB2312" w:cs="仿宋_GB2312"/>
                <w:lang w:bidi="ar"/>
              </w:rPr>
              <w:t>备注</w:t>
            </w:r>
          </w:p>
        </w:tc>
        <w:tc>
          <w:tcPr>
            <w:tcW w:w="9022" w:type="dxa"/>
            <w:gridSpan w:val="5"/>
            <w:tcBorders>
              <w:top w:val="single" w:color="auto" w:sz="4" w:space="0"/>
              <w:left w:val="nil"/>
              <w:bottom w:val="single" w:color="auto" w:sz="4" w:space="0"/>
              <w:right w:val="single" w:color="auto" w:sz="4" w:space="0"/>
            </w:tcBorders>
            <w:vAlign w:val="center"/>
          </w:tcPr>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1.</w:t>
            </w:r>
            <w:r>
              <w:rPr>
                <w:rFonts w:hint="eastAsia"/>
              </w:rPr>
              <w:t xml:space="preserve"> </w:t>
            </w:r>
            <w:r>
              <w:rPr>
                <w:rFonts w:hint="eastAsia" w:cs="仿宋" w:asciiTheme="minorEastAsia" w:hAnsiTheme="minorEastAsia" w:eastAsiaTheme="minorEastAsia"/>
              </w:rPr>
              <w:t>检验项目针对标准中强制性条文要求</w:t>
            </w:r>
          </w:p>
          <w:p>
            <w:pPr>
              <w:adjustRightInd w:val="0"/>
              <w:snapToGrid w:val="0"/>
              <w:jc w:val="left"/>
              <w:rPr>
                <w:rFonts w:cs="仿宋" w:asciiTheme="minorEastAsia" w:hAnsiTheme="minorEastAsia" w:eastAsiaTheme="minorEastAsia"/>
              </w:rPr>
            </w:pPr>
            <w:r>
              <w:rPr>
                <w:rFonts w:hint="eastAsia" w:cs="仿宋" w:asciiTheme="minorEastAsia" w:hAnsiTheme="minorEastAsia" w:eastAsiaTheme="minorEastAsia"/>
              </w:rPr>
              <w:t>2. a:重要质量项目；b:较重要质量项目</w:t>
            </w:r>
          </w:p>
        </w:tc>
      </w:tr>
    </w:tbl>
    <w:p>
      <w:pPr>
        <w:adjustRightInd w:val="0"/>
        <w:snapToGrid w:val="0"/>
        <w:spacing w:before="156" w:beforeLines="50" w:line="360" w:lineRule="auto"/>
        <w:ind w:firstLine="420" w:firstLineChars="200"/>
        <w:rPr>
          <w:rFonts w:eastAsiaTheme="minorEastAsia"/>
          <w:color w:val="000000"/>
        </w:rPr>
      </w:pPr>
      <w:r>
        <w:rPr>
          <w:rFonts w:eastAsiaTheme="minorEastAsia"/>
          <w:color w:val="000000"/>
        </w:rPr>
        <w:t>凡是注日期的文件，其随后所有的修改单（不包括勘误的内容）或修订版不适用于本细则。凡是不注日期的文件，其最新版本适用于本细则。</w:t>
      </w:r>
    </w:p>
    <w:p>
      <w:pPr>
        <w:adjustRightInd w:val="0"/>
        <w:snapToGrid w:val="0"/>
        <w:spacing w:before="156" w:beforeLines="50" w:after="156" w:afterLines="50" w:line="360" w:lineRule="auto"/>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判定规则</w:t>
      </w:r>
    </w:p>
    <w:p>
      <w:pPr>
        <w:adjustRightInd w:val="0"/>
        <w:snapToGrid w:val="0"/>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3.1</w:t>
      </w:r>
      <w:r>
        <w:rPr>
          <w:rFonts w:asciiTheme="minorEastAsia" w:hAnsiTheme="minorEastAsia" w:eastAsiaTheme="minorEastAsia"/>
          <w:color w:val="000000"/>
        </w:rPr>
        <w:t>依据标准</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GB 6932-2015《家用燃气快速热水器》</w:t>
      </w:r>
    </w:p>
    <w:p>
      <w:pPr>
        <w:adjustRightInd w:val="0"/>
        <w:snapToGrid w:val="0"/>
        <w:spacing w:line="360" w:lineRule="auto"/>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GB 20665-2015《家用燃气快速热水器和燃气采暖热水炉能效限定值及能效等级》</w:t>
      </w:r>
    </w:p>
    <w:p>
      <w:pPr>
        <w:adjustRightInd w:val="0"/>
        <w:snapToGrid w:val="0"/>
        <w:spacing w:line="360" w:lineRule="auto"/>
        <w:ind w:firstLine="420" w:firstLineChars="200"/>
        <w:rPr>
          <w:rFonts w:asciiTheme="minorEastAsia" w:hAnsiTheme="minorEastAsia" w:eastAsiaTheme="minorEastAsia"/>
          <w:color w:val="000000"/>
        </w:rPr>
      </w:pPr>
      <w:r>
        <w:rPr>
          <w:rFonts w:asciiTheme="minorEastAsia" w:hAnsiTheme="minorEastAsia" w:eastAsiaTheme="minorEastAsia"/>
          <w:color w:val="000000"/>
        </w:rPr>
        <w:t>现行有效的企业标准、团体标准、地方标准及产品明示质量要求</w:t>
      </w:r>
    </w:p>
    <w:p>
      <w:pPr>
        <w:adjustRightInd w:val="0"/>
        <w:snapToGrid w:val="0"/>
        <w:spacing w:line="360" w:lineRule="auto"/>
        <w:rPr>
          <w:rFonts w:asciiTheme="minorEastAsia" w:hAnsiTheme="minorEastAsia" w:eastAsiaTheme="minorEastAsia"/>
          <w:color w:val="000000"/>
        </w:rPr>
      </w:pPr>
      <w:r>
        <w:rPr>
          <w:rFonts w:hint="eastAsia" w:asciiTheme="minorEastAsia" w:hAnsiTheme="minorEastAsia" w:eastAsiaTheme="minorEastAsia"/>
          <w:color w:val="000000"/>
        </w:rPr>
        <w:t>3</w:t>
      </w:r>
      <w:r>
        <w:rPr>
          <w:rFonts w:asciiTheme="minorEastAsia" w:hAnsiTheme="minorEastAsia" w:eastAsiaTheme="minorEastAsia"/>
          <w:color w:val="000000"/>
        </w:rPr>
        <w:t>.2判定原则</w:t>
      </w:r>
    </w:p>
    <w:p>
      <w:pPr>
        <w:adjustRightInd w:val="0"/>
        <w:snapToGrid w:val="0"/>
        <w:spacing w:line="360" w:lineRule="auto"/>
        <w:ind w:firstLine="420" w:firstLineChars="200"/>
        <w:rPr>
          <w:rFonts w:asciiTheme="minorEastAsia" w:hAnsiTheme="minorEastAsia" w:eastAsiaTheme="minorEastAsia"/>
          <w:color w:val="000000"/>
        </w:rPr>
      </w:pPr>
      <w:r>
        <w:rPr>
          <w:color w:val="000000"/>
        </w:rPr>
        <w:t>经检验，所检验项目全部符合标准要求，判定为被抽查产品未发现不合格；检验项目中任一项或一项以上不合格，判定为被抽查产品不合格。当产品存在A类项目不合格时，属于严重不合格。</w:t>
      </w:r>
    </w:p>
    <w:p>
      <w:pPr>
        <w:adjustRightInd w:val="0"/>
        <w:snapToGrid w:val="0"/>
        <w:spacing w:line="360" w:lineRule="auto"/>
        <w:ind w:firstLine="420" w:firstLineChars="200"/>
        <w:rPr>
          <w:rFonts w:asciiTheme="minorEastAsia" w:hAnsiTheme="minorEastAsia" w:eastAsiaTheme="minorEastAsia"/>
          <w:color w:val="000000"/>
        </w:rPr>
      </w:pPr>
      <w:r>
        <w:rPr>
          <w:rFonts w:asciiTheme="minorEastAsia" w:hAnsiTheme="minorEastAsia" w:eastAsiaTheme="minorEastAsia"/>
          <w:color w:val="000000"/>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eastAsiaTheme="minorEastAsia"/>
          <w:color w:val="000000"/>
        </w:rPr>
      </w:pPr>
      <w:r>
        <w:rPr>
          <w:rFonts w:asciiTheme="minorEastAsia" w:hAnsiTheme="minorEastAsia" w:eastAsiaTheme="minorEastAsia"/>
          <w:color w:val="000000"/>
        </w:rPr>
        <w:t>若被检产品明示的质量要求低于本细则中检验项目依据的强制性标准要求时，应按照强</w:t>
      </w:r>
      <w:r>
        <w:rPr>
          <w:rFonts w:eastAsiaTheme="minorEastAsia"/>
          <w:color w:val="000000"/>
        </w:rPr>
        <w:t>制性标准要求判定。</w:t>
      </w:r>
    </w:p>
    <w:p>
      <w:pPr>
        <w:adjustRightInd w:val="0"/>
        <w:snapToGrid w:val="0"/>
        <w:spacing w:line="360" w:lineRule="auto"/>
        <w:ind w:firstLine="420" w:firstLineChars="200"/>
        <w:rPr>
          <w:rFonts w:eastAsiaTheme="minorEastAsia"/>
          <w:color w:val="000000"/>
        </w:rPr>
      </w:pPr>
      <w:r>
        <w:rPr>
          <w:rFonts w:eastAsiaTheme="minorEastAsia"/>
          <w:color w:val="000000"/>
        </w:rPr>
        <w:t>若被检产品明示的质量要求低于或包含本细则中检验项目依据的推荐性标准要求时，应以被检产品明示的质量要求判定，但应在检验报告备注中进行说明。</w:t>
      </w:r>
    </w:p>
    <w:p>
      <w:pPr>
        <w:adjustRightInd w:val="0"/>
        <w:snapToGrid w:val="0"/>
        <w:spacing w:line="360" w:lineRule="auto"/>
        <w:ind w:firstLine="420" w:firstLineChars="200"/>
        <w:rPr>
          <w:rFonts w:eastAsiaTheme="minorEastAsia"/>
          <w:color w:val="000000"/>
        </w:rPr>
      </w:pPr>
      <w:r>
        <w:rPr>
          <w:rFonts w:eastAsiaTheme="minorEastAsia"/>
          <w:color w:val="000000"/>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eastAsiaTheme="minorEastAsia"/>
          <w:color w:val="000000"/>
        </w:rPr>
      </w:pPr>
      <w:r>
        <w:rPr>
          <w:rFonts w:eastAsiaTheme="minorEastAsia"/>
          <w:color w:val="000000"/>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rPr>
          <w:rFonts w:eastAsiaTheme="minorEastAsia"/>
          <w:color w:val="000000"/>
        </w:rPr>
      </w:pPr>
    </w:p>
    <w:sectPr>
      <w:footerReference r:id="rId3" w:type="default"/>
      <w:pgSz w:w="11906" w:h="16838"/>
      <w:pgMar w:top="1440" w:right="1800" w:bottom="1440" w:left="1800"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939131"/>
    </w:sdtPr>
    <w:sdtContent>
      <w:sdt>
        <w:sdtPr>
          <w:id w:val="-1669238322"/>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9291F"/>
    <w:multiLevelType w:val="multilevel"/>
    <w:tmpl w:val="657929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37"/>
    <w:rsid w:val="00083683"/>
    <w:rsid w:val="00106A78"/>
    <w:rsid w:val="0011768C"/>
    <w:rsid w:val="00143F47"/>
    <w:rsid w:val="00187A2A"/>
    <w:rsid w:val="001A533C"/>
    <w:rsid w:val="001A5500"/>
    <w:rsid w:val="001E426F"/>
    <w:rsid w:val="001F462B"/>
    <w:rsid w:val="002070F6"/>
    <w:rsid w:val="002543BE"/>
    <w:rsid w:val="00297713"/>
    <w:rsid w:val="002D1038"/>
    <w:rsid w:val="002D3093"/>
    <w:rsid w:val="002D5537"/>
    <w:rsid w:val="00304526"/>
    <w:rsid w:val="00344C0F"/>
    <w:rsid w:val="003627D8"/>
    <w:rsid w:val="00377116"/>
    <w:rsid w:val="00407BCB"/>
    <w:rsid w:val="00410E59"/>
    <w:rsid w:val="00435E5E"/>
    <w:rsid w:val="004421CE"/>
    <w:rsid w:val="00450ACA"/>
    <w:rsid w:val="00452624"/>
    <w:rsid w:val="00487E12"/>
    <w:rsid w:val="0051654B"/>
    <w:rsid w:val="00523488"/>
    <w:rsid w:val="00530C0B"/>
    <w:rsid w:val="00570741"/>
    <w:rsid w:val="005922A9"/>
    <w:rsid w:val="005930EF"/>
    <w:rsid w:val="00625345"/>
    <w:rsid w:val="006450DE"/>
    <w:rsid w:val="00666768"/>
    <w:rsid w:val="006C6C5D"/>
    <w:rsid w:val="006E3EF7"/>
    <w:rsid w:val="00747CDF"/>
    <w:rsid w:val="00761D48"/>
    <w:rsid w:val="0076648B"/>
    <w:rsid w:val="00771EA3"/>
    <w:rsid w:val="00783A57"/>
    <w:rsid w:val="0079657C"/>
    <w:rsid w:val="008435E9"/>
    <w:rsid w:val="008456A7"/>
    <w:rsid w:val="00850E33"/>
    <w:rsid w:val="0087423F"/>
    <w:rsid w:val="008819D9"/>
    <w:rsid w:val="00893B6D"/>
    <w:rsid w:val="008B3416"/>
    <w:rsid w:val="008D45B0"/>
    <w:rsid w:val="008D67AF"/>
    <w:rsid w:val="009D682D"/>
    <w:rsid w:val="00A03D3C"/>
    <w:rsid w:val="00A12364"/>
    <w:rsid w:val="00A40375"/>
    <w:rsid w:val="00A44824"/>
    <w:rsid w:val="00A51675"/>
    <w:rsid w:val="00A637BF"/>
    <w:rsid w:val="00A63859"/>
    <w:rsid w:val="00A676A7"/>
    <w:rsid w:val="00A80A51"/>
    <w:rsid w:val="00A87449"/>
    <w:rsid w:val="00AA7C45"/>
    <w:rsid w:val="00AD043A"/>
    <w:rsid w:val="00AF0B32"/>
    <w:rsid w:val="00B0360C"/>
    <w:rsid w:val="00B327E7"/>
    <w:rsid w:val="00B41361"/>
    <w:rsid w:val="00B566B4"/>
    <w:rsid w:val="00BA17A5"/>
    <w:rsid w:val="00BA5FAC"/>
    <w:rsid w:val="00BE65BF"/>
    <w:rsid w:val="00C05484"/>
    <w:rsid w:val="00C17E61"/>
    <w:rsid w:val="00CA6211"/>
    <w:rsid w:val="00CF71FD"/>
    <w:rsid w:val="00D26CDC"/>
    <w:rsid w:val="00D4316C"/>
    <w:rsid w:val="00D556DA"/>
    <w:rsid w:val="00D7281B"/>
    <w:rsid w:val="00D74492"/>
    <w:rsid w:val="00D97714"/>
    <w:rsid w:val="00DD306C"/>
    <w:rsid w:val="00DE3A9B"/>
    <w:rsid w:val="00E20674"/>
    <w:rsid w:val="00E3579E"/>
    <w:rsid w:val="00E70861"/>
    <w:rsid w:val="00E77B79"/>
    <w:rsid w:val="00EC7C64"/>
    <w:rsid w:val="00ED69EB"/>
    <w:rsid w:val="00EE2703"/>
    <w:rsid w:val="00F007A4"/>
    <w:rsid w:val="00F43631"/>
    <w:rsid w:val="00F55EC2"/>
    <w:rsid w:val="00F6519E"/>
    <w:rsid w:val="00FD69A6"/>
    <w:rsid w:val="00FF4C13"/>
    <w:rsid w:val="021954FA"/>
    <w:rsid w:val="037B7174"/>
    <w:rsid w:val="03884442"/>
    <w:rsid w:val="045A7D1D"/>
    <w:rsid w:val="046A1147"/>
    <w:rsid w:val="084B4AF6"/>
    <w:rsid w:val="08B65969"/>
    <w:rsid w:val="0B8D75A8"/>
    <w:rsid w:val="0C9B541C"/>
    <w:rsid w:val="11410853"/>
    <w:rsid w:val="1240071A"/>
    <w:rsid w:val="12AC7899"/>
    <w:rsid w:val="13532EBE"/>
    <w:rsid w:val="13880D37"/>
    <w:rsid w:val="14C10CCA"/>
    <w:rsid w:val="15C226B2"/>
    <w:rsid w:val="176A58C3"/>
    <w:rsid w:val="1AD432D4"/>
    <w:rsid w:val="1AE90081"/>
    <w:rsid w:val="1BB940CB"/>
    <w:rsid w:val="1CBD1070"/>
    <w:rsid w:val="20B95A12"/>
    <w:rsid w:val="23130993"/>
    <w:rsid w:val="23A6542D"/>
    <w:rsid w:val="23BA709A"/>
    <w:rsid w:val="2A7F1CB5"/>
    <w:rsid w:val="2ADB0107"/>
    <w:rsid w:val="32EA6935"/>
    <w:rsid w:val="381634CC"/>
    <w:rsid w:val="38CA39DC"/>
    <w:rsid w:val="3A5E54F5"/>
    <w:rsid w:val="3B441FE5"/>
    <w:rsid w:val="3C290906"/>
    <w:rsid w:val="3EE87173"/>
    <w:rsid w:val="4202591C"/>
    <w:rsid w:val="425538E8"/>
    <w:rsid w:val="439A0A6C"/>
    <w:rsid w:val="43CA2AF9"/>
    <w:rsid w:val="485A60EB"/>
    <w:rsid w:val="49E80310"/>
    <w:rsid w:val="4DAC52E2"/>
    <w:rsid w:val="4E970828"/>
    <w:rsid w:val="4ED800AF"/>
    <w:rsid w:val="515A59AE"/>
    <w:rsid w:val="553D4576"/>
    <w:rsid w:val="56EE6B10"/>
    <w:rsid w:val="5DD811FA"/>
    <w:rsid w:val="5EDD6990"/>
    <w:rsid w:val="61913EA8"/>
    <w:rsid w:val="63463738"/>
    <w:rsid w:val="63E4669C"/>
    <w:rsid w:val="677D49FB"/>
    <w:rsid w:val="67B037F2"/>
    <w:rsid w:val="74186CBB"/>
    <w:rsid w:val="753269A0"/>
    <w:rsid w:val="76B30F14"/>
    <w:rsid w:val="76C811B6"/>
    <w:rsid w:val="78257F5E"/>
    <w:rsid w:val="79AD5996"/>
    <w:rsid w:val="7B856F8A"/>
    <w:rsid w:val="7F56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1"/>
    <w:qFormat/>
    <w:uiPriority w:val="0"/>
    <w:pPr>
      <w:spacing w:before="240" w:after="60" w:line="312" w:lineRule="auto"/>
      <w:jc w:val="center"/>
      <w:outlineLvl w:val="1"/>
    </w:pPr>
    <w:rPr>
      <w:rFonts w:ascii="Cambria" w:hAnsi="Cambria"/>
      <w:b/>
      <w:bCs/>
      <w:kern w:val="28"/>
      <w:sz w:val="32"/>
      <w:szCs w:val="32"/>
    </w:rPr>
  </w:style>
  <w:style w:type="paragraph" w:styleId="6">
    <w:name w:val="Body Text Indent 3"/>
    <w:basedOn w:val="1"/>
    <w:qFormat/>
    <w:uiPriority w:val="0"/>
    <w:pPr>
      <w:snapToGrid w:val="0"/>
      <w:spacing w:line="440" w:lineRule="exact"/>
      <w:ind w:firstLine="420"/>
    </w:pPr>
    <w:rPr>
      <w:rFonts w:ascii="宋体" w:hAnsi="宋体"/>
      <w:szCs w:val="24"/>
    </w:rPr>
  </w:style>
  <w:style w:type="table" w:styleId="8">
    <w:name w:val="Table Grid"/>
    <w:basedOn w:val="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4"/>
    <w:qFormat/>
    <w:uiPriority w:val="0"/>
    <w:rPr>
      <w:kern w:val="2"/>
      <w:sz w:val="18"/>
      <w:szCs w:val="18"/>
    </w:rPr>
  </w:style>
  <w:style w:type="character" w:customStyle="1" w:styleId="11">
    <w:name w:val="副标题 Char"/>
    <w:link w:val="5"/>
    <w:qFormat/>
    <w:uiPriority w:val="0"/>
    <w:rPr>
      <w:rFonts w:ascii="Cambria" w:hAnsi="Cambria" w:cs="Times New Roman"/>
      <w:b/>
      <w:bCs/>
      <w:kern w:val="28"/>
      <w:sz w:val="32"/>
      <w:szCs w:val="32"/>
    </w:rPr>
  </w:style>
  <w:style w:type="character" w:customStyle="1" w:styleId="12">
    <w:name w:val="页脚 Char"/>
    <w:link w:val="3"/>
    <w:qFormat/>
    <w:uiPriority w:val="99"/>
    <w:rPr>
      <w:kern w:val="2"/>
      <w:sz w:val="18"/>
      <w:szCs w:val="18"/>
    </w:rPr>
  </w:style>
  <w:style w:type="character" w:customStyle="1" w:styleId="13">
    <w:name w:val="批注框文本 Char"/>
    <w:link w:val="2"/>
    <w:qFormat/>
    <w:uiPriority w:val="0"/>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2</Pages>
  <Words>1044</Words>
  <Characters>486</Characters>
  <Lines>4</Lines>
  <Paragraphs>3</Paragraphs>
  <TotalTime>2</TotalTime>
  <ScaleCrop>false</ScaleCrop>
  <LinksUpToDate>false</LinksUpToDate>
  <CharactersWithSpaces>1527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2020-08-04T01:34:00Z</dcterms:created>
  <dc:creator>GQI</dc:creator>
  <cp:lastModifiedBy>特别de爱</cp:lastModifiedBy>
  <cp:lastPrinted>2016-08-19T05:46:00Z</cp:lastPrinted>
  <dcterms:modified xsi:type="dcterms:W3CDTF">2021-04-28T08:25:34Z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