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7"/>
        <w:jc w:val="center"/>
        <w:rPr>
          <w:rFonts w:hint="eastAsia" w:ascii="宋体" w:hAnsi="宋体" w:eastAsia="宋体" w:cs="方正仿宋简体"/>
          <w:b/>
          <w:bCs/>
          <w:color w:val="000000"/>
          <w:sz w:val="44"/>
          <w:szCs w:val="44"/>
          <w:lang w:val="en-US" w:eastAsia="zh-CN"/>
        </w:rPr>
      </w:pPr>
      <w:r>
        <w:rPr>
          <w:rFonts w:hint="eastAsia" w:ascii="宋体" w:hAnsi="宋体" w:cs="方正仿宋简体"/>
          <w:b/>
          <w:bCs/>
          <w:color w:val="000000"/>
          <w:sz w:val="44"/>
          <w:szCs w:val="44"/>
        </w:rPr>
        <w:t>营商环境创新试点城市网络销售产品质量联动抽查实施细</w:t>
      </w:r>
      <w:r>
        <w:rPr>
          <w:rFonts w:hint="eastAsia" w:ascii="宋体" w:hAnsi="宋体" w:cs="方正仿宋简体"/>
          <w:b/>
          <w:bCs/>
          <w:color w:val="000000"/>
          <w:sz w:val="44"/>
          <w:szCs w:val="44"/>
          <w:lang w:val="en-US" w:eastAsia="zh-CN"/>
        </w:rPr>
        <w:t>则（2022年）</w:t>
      </w:r>
    </w:p>
    <w:p>
      <w:pPr>
        <w:keepNext w:val="0"/>
        <w:keepLines w:val="0"/>
        <w:widowControl w:val="0"/>
        <w:suppressLineNumbers w:val="0"/>
        <w:snapToGrid w:val="0"/>
        <w:spacing w:before="0" w:beforeAutospacing="0" w:after="0" w:afterAutospacing="0" w:line="360" w:lineRule="auto"/>
        <w:ind w:left="0" w:right="0"/>
        <w:jc w:val="center"/>
        <w:rPr>
          <w:rFonts w:hint="eastAsia" w:ascii="华文行楷" w:hAnsi="华文行楷" w:eastAsia="华文行楷" w:cs="华文行楷"/>
          <w:color w:val="000000"/>
          <w:sz w:val="44"/>
          <w:szCs w:val="44"/>
          <w:lang w:val="en-US" w:eastAsia="zh-CN"/>
        </w:rPr>
      </w:pPr>
      <w:r>
        <w:rPr>
          <w:rFonts w:hint="eastAsia" w:ascii="华文行楷" w:hAnsi="华文行楷" w:eastAsia="华文行楷" w:cs="华文行楷"/>
          <w:color w:val="000000"/>
          <w:sz w:val="44"/>
          <w:szCs w:val="44"/>
          <w:lang w:val="en-US" w:eastAsia="zh-CN"/>
        </w:rPr>
        <w:t>玩具</w:t>
      </w:r>
    </w:p>
    <w:p>
      <w:pPr>
        <w:keepNext w:val="0"/>
        <w:keepLines w:val="0"/>
        <w:widowControl w:val="0"/>
        <w:suppressLineNumbers w:val="0"/>
        <w:snapToGrid w:val="0"/>
        <w:spacing w:before="0" w:beforeAutospacing="0" w:after="0" w:afterAutospacing="0" w:line="360" w:lineRule="auto"/>
        <w:ind w:left="0" w:right="0"/>
        <w:jc w:val="left"/>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1 抽样方法</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color w:val="000000"/>
          <w:kern w:val="2"/>
          <w:sz w:val="21"/>
          <w:szCs w:val="21"/>
          <w:lang w:val="en-US" w:eastAsia="zh-CN" w:bidi="ar"/>
        </w:rPr>
        <w:t>以消费者的名义买样的方式进行网络抽样。从同一生产者按照同一标准生产的同一商标、同一规格型号的产品中抽取</w:t>
      </w:r>
      <w:r>
        <w:rPr>
          <w:rFonts w:hint="eastAsia" w:ascii="宋体" w:hAnsi="宋体" w:eastAsia="宋体" w:cs="宋体"/>
          <w:color w:val="auto"/>
          <w:kern w:val="2"/>
          <w:sz w:val="21"/>
          <w:szCs w:val="21"/>
          <w:lang w:val="en-US" w:eastAsia="zh-CN" w:bidi="ar"/>
        </w:rPr>
        <w:t>3</w:t>
      </w:r>
      <w:r>
        <w:rPr>
          <w:rFonts w:hint="eastAsia" w:ascii="宋体" w:hAnsi="宋体" w:eastAsia="宋体" w:cs="宋体"/>
          <w:kern w:val="2"/>
          <w:sz w:val="21"/>
          <w:szCs w:val="21"/>
          <w:lang w:val="en-US" w:eastAsia="zh-CN" w:bidi="ar"/>
        </w:rPr>
        <w:t>件最小销售包装，其中</w:t>
      </w:r>
      <w:r>
        <w:rPr>
          <w:rFonts w:hint="eastAsia" w:ascii="宋体" w:hAnsi="宋体" w:eastAsia="宋体" w:cs="宋体"/>
          <w:color w:val="auto"/>
          <w:kern w:val="2"/>
          <w:sz w:val="21"/>
          <w:szCs w:val="21"/>
          <w:lang w:val="en-US" w:eastAsia="zh-CN" w:bidi="ar"/>
        </w:rPr>
        <w:t>2</w:t>
      </w:r>
      <w:r>
        <w:rPr>
          <w:rFonts w:hint="eastAsia" w:ascii="宋体" w:hAnsi="宋体" w:eastAsia="宋体" w:cs="宋体"/>
          <w:kern w:val="2"/>
          <w:sz w:val="21"/>
          <w:szCs w:val="21"/>
          <w:lang w:val="en-US" w:eastAsia="zh-CN" w:bidi="ar"/>
        </w:rPr>
        <w:t>件最小销售包装作为检验样品，1件最小销售包装作为备用样品。</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lang w:val="en-US" w:eastAsia="zh-CN" w:bidi="ar"/>
        </w:rPr>
      </w:pPr>
    </w:p>
    <w:p>
      <w:pPr>
        <w:keepNext w:val="0"/>
        <w:keepLines w:val="0"/>
        <w:widowControl w:val="0"/>
        <w:suppressLineNumbers w:val="0"/>
        <w:snapToGrid w:val="0"/>
        <w:spacing w:before="0" w:beforeAutospacing="0" w:after="0" w:afterAutospacing="0" w:line="440" w:lineRule="exact"/>
        <w:ind w:left="0" w:right="0"/>
        <w:jc w:val="both"/>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2 检验依据</w:t>
      </w:r>
    </w:p>
    <w:p>
      <w:pPr>
        <w:keepNext w:val="0"/>
        <w:keepLines w:val="0"/>
        <w:widowControl w:val="0"/>
        <w:suppressLineNumbers w:val="0"/>
        <w:snapToGrid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表1  玩具检验项目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7"/>
        <w:gridCol w:w="3161"/>
        <w:gridCol w:w="2580"/>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序号</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检验项目</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判定依据</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一、机械与物理性能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正常使用</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6675.2-2014/4.3-4.29、5.2-5.23、5.25-5.29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可预见的合理滥用</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6675.2-2014/4.3-4.29、5.24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材料</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6675.2-2014/4.3</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6675.2-2014/4.3、5.2、5.21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小零件</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6675.2-2014/5.2、5.24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某些特定玩具的形状、尺寸及强度</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6675.2-2014/4.5</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6675.2-2014/4.5、5.3、5.4、5.5、5.24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边缘</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6675.2-2014/4.6</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6675.2-2014/4.6、5.8、5.24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尖端</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6675.2-2014/4.7</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6675.2-2014/4.7、5.9、5.24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突出部件</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6675.2-2014/4.8</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6675.2-2014/4.8、5.24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金属丝和杆件</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6675.2-2014/4.9</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6675.2-2014/5.8、5.9、5.24.6.4、5.24.8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用于包装或玩具中的塑料袋或塑料薄膜</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6675.2-2014/4.10</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绳索和弹性绳</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6675.2-2014/4.11</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6675.2-2014/4.11、5.11.1、5.11.2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折叠机构</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6675.2-2014/4.12</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孔、间隙、机械装置的可触及性</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6675.2-2014/4.13</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弹簧</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稳定性及超载要求</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6675.2-2014/4.15</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6675.2-2014/4.15、5.12.2、5.12.3、5.12.4、5.12.5、5.12.6、5.24.4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封闭式玩具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6675.2-2014/4.16</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6675.2-2014/4.16、</w:t>
            </w:r>
            <w:r>
              <w:rPr>
                <w:rFonts w:hint="default" w:ascii="宋体" w:hAnsi="宋体" w:eastAsia="宋体" w:cs="宋体"/>
                <w:color w:val="000000"/>
                <w:kern w:val="0"/>
                <w:sz w:val="21"/>
                <w:szCs w:val="21"/>
                <w:lang w:val="en-US" w:eastAsia="zh-CN" w:bidi="ar"/>
              </w:rPr>
              <w:t>5.13.1、5.13.2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仿制防护玩具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6675.2-2014/4.17</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弹射玩具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6675.2-2014/4.18</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6675.2-2014/4.18、5.24.5、5.24.6.4、5.15、5.2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水上玩具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6675.2-2014/4.19</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热源玩具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6675.2-2014/4.23</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液体填充玩具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口动玩具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6675.2-2014/4.25</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6675.2-2014/5.2、5.20、5.24.5、5.24.6.1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玩具滚轴溜冰鞋、单排滚轴溜冰鞋及玩具滑板</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6675.2-2014/4.26</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玩具火药帽</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6675.2-2014/4.27</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声响要求</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6675.2-2014/4.28</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6675.2-2014/4.28、5.25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26</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磁体和磁性部件</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GB 6675.2-2014/4.29</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GB 6675.2-2014/4.29、5.2、5.24、5.26、5.27、5.28、5.29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二、易燃性能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一般要求</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6675.3-2014/4.1</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头戴玩具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6675.3-2014/4.2</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6675.3-2014/5.2、5.3、5.4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化妆服饰</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6675.3-2014/4.3</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供儿童进入的玩具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6675.3-2014/4.4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6675.3-2014/5.4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Times New Roman" w:hAnsi="Times New Roman" w:eastAsia="宋体" w:cs="宋体"/>
                <w:bCs/>
                <w:kern w:val="2"/>
                <w:sz w:val="21"/>
                <w:szCs w:val="21"/>
                <w:lang w:val="en-US" w:eastAsia="zh-CN" w:bidi="ar"/>
              </w:rPr>
              <w:t>具有毛绒或纺织表面的软体填充玩具（动物和娃娃等）</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6675.3-2014/4.5</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6675.3-2014/5.5、5.6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三、</w:t>
            </w:r>
            <w:r>
              <w:rPr>
                <w:rFonts w:hint="eastAsia" w:ascii="Calibri" w:hAnsi="Calibri" w:eastAsia="宋体" w:cs="宋体"/>
                <w:bCs/>
                <w:kern w:val="2"/>
                <w:sz w:val="21"/>
                <w:szCs w:val="21"/>
                <w:lang w:val="en-US" w:eastAsia="zh-CN" w:bidi="ar"/>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可迁移元素最大限量要求</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6675.1-2014/5.3.3</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6675.4-2014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r>
              <w:rPr>
                <w:rFonts w:hint="eastAsia" w:ascii="Calibri" w:hAnsi="Calibri" w:eastAsia="宋体" w:cs="宋体"/>
                <w:bCs/>
                <w:kern w:val="2"/>
                <w:sz w:val="21"/>
                <w:szCs w:val="21"/>
                <w:lang w:val="en-US" w:eastAsia="zh-CN" w:bidi="ar"/>
              </w:rPr>
              <w:t>四、增塑剂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限定增塑剂限量要求</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6675.1-2014/5.3.7</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GB/T 22048-2015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输入功率</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19865-2005/8</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发热和非正常工作</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19865-2005/9</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工作温度下的电气强度</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19865-2005/10</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耐潮湿</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19865-2005/11</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室温下的电气强度</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19865-2005/12</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机械强度</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19865-2005/13</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结构</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19865-2005/14</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软线和电线的保护</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19865-2005/15</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螺钉和连接</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19865-2005/17</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电气间隙和爬电距离</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19865-2005/18</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耐热和耐燃</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19865-2005/19</w:t>
            </w:r>
          </w:p>
        </w:tc>
        <w:tc>
          <w:tcPr>
            <w:tcW w:w="2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19865-2005/19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trPr>
        <w:tc>
          <w:tcPr>
            <w:tcW w:w="9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注：1.电气安全项目仅适用于电玩具产品。</w:t>
            </w:r>
          </w:p>
          <w:p>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2.适用范围内的玩具，对上列检验项目逐一进行检测时，遇不适用项目不进行判定，但检验报告应标明不适用项。</w:t>
            </w:r>
          </w:p>
          <w:p>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3.可迁移元素最大限量、增塑剂项目选取一种主要材质进行测试，优先选取软性材料及涂层等高风险材料；对于单一样品的单一材料的取样量不足10mg时予以豁免。</w:t>
            </w:r>
          </w:p>
          <w:p>
            <w:pPr>
              <w:keepNext w:val="0"/>
              <w:keepLines w:val="0"/>
              <w:widowControl/>
              <w:suppressLineNumbers w:val="0"/>
              <w:spacing w:before="0" w:beforeAutospacing="0" w:after="0" w:afterAutospacing="0"/>
              <w:ind w:left="0" w:right="0"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4.前期已发布监督抽查实施细则的，检验项目可不受本细则限制。</w:t>
            </w:r>
          </w:p>
        </w:tc>
      </w:tr>
    </w:tbl>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凡是注日期的文件，其随后所有的修改单（不包括勘误的内容）或修订版不适用于本细则。</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3 判定规则</w:t>
      </w:r>
    </w:p>
    <w:p>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3.1依据标准</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GB 6675.1-2014 玩具安全 第1部分：基本规范</w:t>
      </w:r>
    </w:p>
    <w:p>
      <w:pPr>
        <w:keepNext w:val="0"/>
        <w:keepLines w:val="0"/>
        <w:widowControl w:val="0"/>
        <w:suppressLineNumbers w:val="0"/>
        <w:snapToGrid w:val="0"/>
        <w:spacing w:before="0" w:beforeAutospacing="0" w:after="0" w:afterAutospacing="0" w:line="440" w:lineRule="exact"/>
        <w:ind w:left="0" w:right="0" w:firstLine="417" w:firstLineChars="199"/>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GB 6675.2-2014 玩具安全 第2部分：机械与物理性能</w:t>
      </w:r>
    </w:p>
    <w:p>
      <w:pPr>
        <w:keepNext w:val="0"/>
        <w:keepLines w:val="0"/>
        <w:widowControl w:val="0"/>
        <w:suppressLineNumbers w:val="0"/>
        <w:snapToGrid w:val="0"/>
        <w:spacing w:before="0" w:beforeAutospacing="0" w:after="0" w:afterAutospacing="0" w:line="440" w:lineRule="exact"/>
        <w:ind w:left="0" w:right="0" w:firstLine="417" w:firstLineChars="199"/>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bidi="ar"/>
        </w:rPr>
        <w:t>GB 6675.3-2014 玩具安全 第3部分：易燃性能</w:t>
      </w:r>
    </w:p>
    <w:p>
      <w:pPr>
        <w:keepNext w:val="0"/>
        <w:keepLines w:val="0"/>
        <w:widowControl w:val="0"/>
        <w:suppressLineNumbers w:val="0"/>
        <w:snapToGrid w:val="0"/>
        <w:spacing w:before="0" w:beforeAutospacing="0" w:after="0" w:afterAutospacing="0" w:line="440" w:lineRule="exact"/>
        <w:ind w:left="0" w:right="0" w:firstLine="417" w:firstLineChars="199"/>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GB 6675.4-2014 玩具安全 第4部分：特定元素的迁移</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宋体" w:hAnsi="宋体" w:eastAsia="宋体" w:cs="宋体"/>
          <w:color w:val="auto"/>
          <w:szCs w:val="21"/>
          <w:lang w:val="en-US"/>
        </w:rPr>
      </w:pPr>
      <w:r>
        <w:rPr>
          <w:rFonts w:hint="eastAsia" w:ascii="宋体" w:hAnsi="宋体" w:eastAsia="宋体" w:cs="宋体"/>
          <w:color w:val="auto"/>
          <w:kern w:val="2"/>
          <w:sz w:val="21"/>
          <w:szCs w:val="24"/>
          <w:lang w:val="en-US" w:eastAsia="zh-CN" w:bidi="ar"/>
        </w:rPr>
        <w:t>GB 19865</w:t>
      </w:r>
      <w:r>
        <w:rPr>
          <w:rFonts w:hint="eastAsia" w:ascii="宋体" w:hAnsi="宋体" w:eastAsia="宋体" w:cs="宋体"/>
          <w:color w:val="auto"/>
          <w:kern w:val="2"/>
          <w:sz w:val="21"/>
          <w:szCs w:val="21"/>
          <w:lang w:val="en-US" w:eastAsia="zh-CN" w:bidi="ar"/>
        </w:rPr>
        <w:t xml:space="preserve">-2005 电玩具的安全 </w:t>
      </w:r>
    </w:p>
    <w:p>
      <w:pPr>
        <w:keepNext w:val="0"/>
        <w:keepLines w:val="0"/>
        <w:widowControl w:val="0"/>
        <w:suppressLineNumbers w:val="0"/>
        <w:snapToGrid w:val="0"/>
        <w:spacing w:before="0" w:beforeAutospacing="0" w:after="0" w:afterAutospacing="0" w:line="440" w:lineRule="exact"/>
        <w:ind w:left="0" w:right="0" w:firstLine="417" w:firstLineChars="199"/>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GB/T 22048-2015 玩具及儿童用品中特定邻苯二甲酸酯增塑剂的测定</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相关的法律、行政法规、部门规章、规范性文件</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现行有效的企业标准、团体标准、地方标准及产品明示质量要求</w:t>
      </w:r>
    </w:p>
    <w:p>
      <w:pPr>
        <w:keepNext w:val="0"/>
        <w:keepLines w:val="0"/>
        <w:widowControl w:val="0"/>
        <w:suppressLineNumbers w:val="0"/>
        <w:snapToGrid w:val="0"/>
        <w:spacing w:before="0" w:beforeAutospacing="0" w:after="0" w:afterAutospacing="0" w:line="440" w:lineRule="exact"/>
        <w:ind w:left="0" w:right="0"/>
        <w:jc w:val="both"/>
        <w:outlineLvl w:val="0"/>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 判定原则</w:t>
      </w:r>
    </w:p>
    <w:p>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经检验，检验项目全部合格，</w:t>
      </w:r>
      <w:r>
        <w:rPr>
          <w:rFonts w:hint="eastAsia" w:ascii="宋体" w:hAnsi="宋体" w:eastAsia="宋体" w:cs="Times New Roman"/>
          <w:color w:val="auto"/>
          <w:kern w:val="2"/>
          <w:sz w:val="21"/>
          <w:szCs w:val="21"/>
          <w:lang w:val="en-US" w:eastAsia="zh-CN" w:bidi="ar"/>
        </w:rPr>
        <w:t>判定为被抽查产品所检项目未发现不合格；</w:t>
      </w:r>
      <w:r>
        <w:rPr>
          <w:rFonts w:hint="eastAsia" w:ascii="宋体" w:hAnsi="宋体" w:eastAsia="宋体" w:cs="宋体"/>
          <w:kern w:val="2"/>
          <w:sz w:val="21"/>
          <w:szCs w:val="21"/>
          <w:lang w:val="en-US" w:eastAsia="zh-CN" w:bidi="ar"/>
        </w:rPr>
        <w:t>检验项目中任一项或一项以上不合格，判定为被抽查产品不合格。</w:t>
      </w:r>
    </w:p>
    <w:p>
      <w:pPr>
        <w:keepNext w:val="0"/>
        <w:keepLines w:val="0"/>
        <w:widowControl w:val="0"/>
        <w:suppressLineNumbers w:val="0"/>
        <w:snapToGrid w:val="0"/>
        <w:spacing w:before="0" w:beforeAutospacing="0" w:after="0" w:afterAutospacing="0" w:line="440" w:lineRule="exact"/>
        <w:ind w:left="0" w:right="0" w:firstLine="417" w:firstLineChars="199"/>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若被检产品明示的质量要求高于本细则中检验项目依据的标准要求时，应按被检产品明示的质量要求判定。</w:t>
      </w:r>
    </w:p>
    <w:p>
      <w:pPr>
        <w:keepNext w:val="0"/>
        <w:keepLines w:val="0"/>
        <w:widowControl w:val="0"/>
        <w:suppressLineNumbers w:val="0"/>
        <w:snapToGrid w:val="0"/>
        <w:spacing w:before="0" w:beforeAutospacing="0" w:after="0" w:afterAutospacing="0" w:line="440" w:lineRule="exact"/>
        <w:ind w:left="0" w:right="0" w:firstLine="417" w:firstLineChars="199"/>
        <w:jc w:val="both"/>
      </w:pPr>
      <w:r>
        <w:rPr>
          <w:rFonts w:hint="eastAsia"/>
        </w:rPr>
        <w:t>若被检产品明示的质量要求缺少、低于或包含本细则中检验项目依据的强制性标准要求时，应按照强制性标准要求判定。</w:t>
      </w:r>
      <w:bookmarkStart w:id="0" w:name="_GoBack"/>
      <w:bookmarkEnd w:id="0"/>
    </w:p>
    <w:sectPr>
      <w:pgSz w:w="11906" w:h="16838"/>
      <w:pgMar w:top="1985" w:right="1361"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0B45493-BB9B-4503-970A-B859CD3AAE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69A822-CEAF-4C1C-95E3-DFBBFD82D8BB}"/>
  </w:font>
  <w:font w:name="方正仿宋简体">
    <w:panose1 w:val="02000000000000000000"/>
    <w:charset w:val="86"/>
    <w:family w:val="script"/>
    <w:pitch w:val="default"/>
    <w:sig w:usb0="A00002BF" w:usb1="184F6CFA" w:usb2="00000012" w:usb3="00000000" w:csb0="00040001" w:csb1="00000000"/>
    <w:embedRegular r:id="rId3" w:fontKey="{D6964949-A634-455C-A0A7-75AB9AAB26D7}"/>
  </w:font>
  <w:font w:name="华文行楷">
    <w:panose1 w:val="02010800040101010101"/>
    <w:charset w:val="86"/>
    <w:family w:val="auto"/>
    <w:pitch w:val="default"/>
    <w:sig w:usb0="00000001" w:usb1="080F0000" w:usb2="00000000" w:usb3="00000000" w:csb0="00040000" w:csb1="00000000"/>
    <w:embedRegular r:id="rId4" w:fontKey="{7EF0BFCC-0A68-4158-B2D0-5FF1809024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31D1"/>
    <w:rsid w:val="06D13C3E"/>
    <w:rsid w:val="098E7BF0"/>
    <w:rsid w:val="0D2F72D3"/>
    <w:rsid w:val="18F0538C"/>
    <w:rsid w:val="19AA562D"/>
    <w:rsid w:val="1AB114CC"/>
    <w:rsid w:val="222D4653"/>
    <w:rsid w:val="2364497E"/>
    <w:rsid w:val="26F57248"/>
    <w:rsid w:val="2EA41095"/>
    <w:rsid w:val="304571CC"/>
    <w:rsid w:val="3114440E"/>
    <w:rsid w:val="418A132D"/>
    <w:rsid w:val="48174664"/>
    <w:rsid w:val="48BA2581"/>
    <w:rsid w:val="4D1459A0"/>
    <w:rsid w:val="4D422183"/>
    <w:rsid w:val="5413370E"/>
    <w:rsid w:val="588628CA"/>
    <w:rsid w:val="58971837"/>
    <w:rsid w:val="5B95395D"/>
    <w:rsid w:val="5DC0057F"/>
    <w:rsid w:val="62B813BE"/>
    <w:rsid w:val="64B26A2C"/>
    <w:rsid w:val="661D6A38"/>
    <w:rsid w:val="66630DAF"/>
    <w:rsid w:val="68073553"/>
    <w:rsid w:val="68500530"/>
    <w:rsid w:val="6EDD2838"/>
    <w:rsid w:val="6F8805F2"/>
    <w:rsid w:val="760648C5"/>
    <w:rsid w:val="79F62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2022-03-09T01:28:00Z</dcterms:created>
  <dc:creator>pc</dc:creator>
  <cp:lastModifiedBy>董丽楠</cp:lastModifiedBy>
  <cp:lastPrinted>2022-03-09T08:31:00Z</cp:lastPrinted>
  <dcterms:modified xsi:type="dcterms:W3CDTF">2022-03-22T04:58:58Z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83564C429DCD4A3DAF1BA7C0B78D133E</vt:lpwstr>
  </property>
</Properties>
</file>