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80" w:lineRule="exact"/>
        <w:jc w:val="center"/>
        <w:rPr>
          <w:rFonts w:hint="eastAsia" w:ascii="方正小标宋简体" w:hAnsi="方正小标宋简体" w:eastAsia="方正小标宋简体" w:cs="方正小标宋简体"/>
          <w:b/>
          <w:sz w:val="52"/>
          <w:szCs w:val="72"/>
        </w:rPr>
      </w:pPr>
      <w:bookmarkStart w:id="0" w:name="_Hlk90027467"/>
    </w:p>
    <w:p>
      <w:pPr>
        <w:adjustRightInd w:val="0"/>
        <w:snapToGrid w:val="0"/>
        <w:spacing w:line="880" w:lineRule="exact"/>
        <w:jc w:val="center"/>
        <w:rPr>
          <w:rFonts w:ascii="方正小标宋简体" w:hAnsi="方正小标宋简体" w:eastAsia="方正小标宋简体" w:cs="方正小标宋简体"/>
          <w:b/>
          <w:sz w:val="52"/>
          <w:szCs w:val="72"/>
        </w:rPr>
      </w:pPr>
      <w:bookmarkStart w:id="413" w:name="_GoBack"/>
      <w:r>
        <w:rPr>
          <w:rFonts w:hint="eastAsia" w:ascii="方正小标宋简体" w:hAnsi="方正小标宋简体" w:eastAsia="方正小标宋简体" w:cs="方正小标宋简体"/>
          <w:b/>
          <w:sz w:val="52"/>
          <w:szCs w:val="72"/>
        </w:rPr>
        <w:t>广州市土壤与地下水污染防治</w:t>
      </w:r>
    </w:p>
    <w:p>
      <w:pPr>
        <w:adjustRightInd w:val="0"/>
        <w:snapToGrid w:val="0"/>
        <w:spacing w:line="880" w:lineRule="exact"/>
        <w:jc w:val="center"/>
        <w:rPr>
          <w:rFonts w:hint="eastAsia" w:ascii="方正小标宋简体" w:hAnsi="方正小标宋简体" w:eastAsia="方正小标宋简体" w:cs="方正小标宋简体"/>
          <w:b/>
          <w:sz w:val="56"/>
          <w:szCs w:val="72"/>
        </w:rPr>
      </w:pPr>
      <w:r>
        <w:rPr>
          <w:rFonts w:hint="eastAsia" w:ascii="方正小标宋简体" w:hAnsi="方正小标宋简体" w:eastAsia="方正小标宋简体" w:cs="方正小标宋简体"/>
          <w:b/>
          <w:sz w:val="52"/>
          <w:szCs w:val="72"/>
        </w:rPr>
        <w:t>“十四五”规划</w:t>
      </w:r>
      <w:bookmarkEnd w:id="413"/>
    </w:p>
    <w:bookmarkEnd w:id="0"/>
    <w:p>
      <w:pPr>
        <w:widowControl/>
        <w:spacing w:line="360" w:lineRule="auto"/>
        <w:jc w:val="center"/>
        <w:rPr>
          <w:rFonts w:hint="eastAsia" w:eastAsia="仿宋"/>
          <w:b/>
          <w:kern w:val="0"/>
          <w:sz w:val="44"/>
          <w:szCs w:val="28"/>
        </w:rPr>
      </w:pPr>
    </w:p>
    <w:p>
      <w:pPr>
        <w:pStyle w:val="11"/>
        <w:ind w:firstLine="883"/>
        <w:rPr>
          <w:b/>
          <w:sz w:val="44"/>
          <w:szCs w:val="28"/>
        </w:rPr>
      </w:pPr>
    </w:p>
    <w:p>
      <w:pPr>
        <w:pStyle w:val="11"/>
        <w:ind w:firstLine="883"/>
        <w:rPr>
          <w:b/>
          <w:sz w:val="44"/>
          <w:szCs w:val="28"/>
        </w:rPr>
      </w:pPr>
    </w:p>
    <w:p>
      <w:pPr>
        <w:pStyle w:val="11"/>
        <w:ind w:firstLine="883"/>
        <w:rPr>
          <w:b/>
          <w:sz w:val="44"/>
          <w:szCs w:val="28"/>
        </w:rPr>
      </w:pPr>
    </w:p>
    <w:p>
      <w:pPr>
        <w:pStyle w:val="11"/>
        <w:ind w:firstLine="883"/>
        <w:rPr>
          <w:b/>
          <w:sz w:val="44"/>
          <w:szCs w:val="28"/>
        </w:rPr>
      </w:pPr>
    </w:p>
    <w:p>
      <w:pPr>
        <w:pStyle w:val="11"/>
        <w:ind w:firstLine="883"/>
        <w:rPr>
          <w:b/>
          <w:sz w:val="44"/>
          <w:szCs w:val="28"/>
        </w:rPr>
      </w:pPr>
    </w:p>
    <w:p>
      <w:pPr>
        <w:pStyle w:val="11"/>
        <w:spacing w:line="440" w:lineRule="exact"/>
        <w:ind w:firstLine="422"/>
        <w:rPr>
          <w:b/>
          <w:szCs w:val="20"/>
        </w:rPr>
      </w:pPr>
    </w:p>
    <w:p>
      <w:pPr>
        <w:pStyle w:val="11"/>
        <w:spacing w:line="440" w:lineRule="exact"/>
        <w:ind w:firstLine="422"/>
        <w:rPr>
          <w:b/>
          <w:szCs w:val="20"/>
        </w:rPr>
      </w:pPr>
    </w:p>
    <w:p>
      <w:pPr>
        <w:pStyle w:val="11"/>
        <w:spacing w:line="440" w:lineRule="exact"/>
        <w:ind w:firstLine="422"/>
        <w:rPr>
          <w:b/>
          <w:szCs w:val="20"/>
        </w:rPr>
      </w:pPr>
    </w:p>
    <w:p>
      <w:pPr>
        <w:pStyle w:val="11"/>
        <w:spacing w:line="440" w:lineRule="exact"/>
        <w:ind w:firstLine="422"/>
        <w:rPr>
          <w:b/>
          <w:szCs w:val="20"/>
        </w:rPr>
      </w:pPr>
    </w:p>
    <w:p>
      <w:pPr>
        <w:pStyle w:val="11"/>
        <w:spacing w:line="440" w:lineRule="exact"/>
        <w:ind w:firstLine="422"/>
        <w:rPr>
          <w:b/>
          <w:szCs w:val="20"/>
        </w:rPr>
      </w:pPr>
    </w:p>
    <w:p>
      <w:pPr>
        <w:pStyle w:val="11"/>
        <w:spacing w:line="440" w:lineRule="exact"/>
        <w:ind w:firstLine="422"/>
        <w:rPr>
          <w:b/>
          <w:szCs w:val="20"/>
        </w:rPr>
      </w:pPr>
    </w:p>
    <w:p>
      <w:pPr>
        <w:pStyle w:val="11"/>
        <w:spacing w:line="440" w:lineRule="exact"/>
        <w:ind w:firstLine="422"/>
        <w:rPr>
          <w:b/>
          <w:szCs w:val="20"/>
        </w:rPr>
      </w:pPr>
    </w:p>
    <w:p>
      <w:pPr>
        <w:pStyle w:val="11"/>
        <w:spacing w:line="440" w:lineRule="exact"/>
        <w:ind w:firstLine="422"/>
        <w:rPr>
          <w:b/>
          <w:szCs w:val="20"/>
        </w:rPr>
      </w:pPr>
    </w:p>
    <w:p>
      <w:pPr>
        <w:pStyle w:val="11"/>
        <w:spacing w:line="440" w:lineRule="exact"/>
        <w:rPr>
          <w:bCs/>
          <w:szCs w:val="20"/>
        </w:rPr>
      </w:pPr>
    </w:p>
    <w:p>
      <w:pPr>
        <w:pStyle w:val="11"/>
        <w:ind w:left="0" w:leftChars="0" w:firstLine="0" w:firstLineChars="0"/>
        <w:jc w:val="center"/>
        <w:rPr>
          <w:rFonts w:eastAsia="楷体_GB2312"/>
          <w:bCs/>
          <w:sz w:val="32"/>
          <w:szCs w:val="32"/>
        </w:rPr>
      </w:pPr>
      <w:r>
        <w:rPr>
          <w:rFonts w:hint="eastAsia" w:eastAsia="楷体_GB2312"/>
          <w:bCs/>
          <w:sz w:val="32"/>
          <w:szCs w:val="32"/>
        </w:rPr>
        <w:t>二</w:t>
      </w:r>
      <w:r>
        <w:rPr>
          <w:rFonts w:hint="eastAsia" w:ascii="宋体" w:hAnsi="宋体" w:cs="宋体"/>
          <w:bCs/>
          <w:sz w:val="32"/>
          <w:szCs w:val="32"/>
        </w:rPr>
        <w:t>〇</w:t>
      </w:r>
      <w:r>
        <w:rPr>
          <w:rFonts w:hint="eastAsia" w:ascii="楷体_GB2312" w:hAnsi="楷体_GB2312" w:eastAsia="楷体_GB2312" w:cs="楷体_GB2312"/>
          <w:bCs/>
          <w:sz w:val="32"/>
          <w:szCs w:val="32"/>
        </w:rPr>
        <w:t>二二年十二月</w:t>
      </w:r>
    </w:p>
    <w:p>
      <w:pPr>
        <w:widowControl/>
        <w:spacing w:line="360" w:lineRule="auto"/>
        <w:jc w:val="left"/>
        <w:rPr>
          <w:rFonts w:hint="eastAsia" w:ascii="Arial" w:hAnsi="Arial" w:eastAsia="黑体"/>
          <w:kern w:val="0"/>
          <w:sz w:val="20"/>
          <w:szCs w:val="20"/>
        </w:rPr>
        <w:sectPr>
          <w:pgSz w:w="11906" w:h="16838"/>
          <w:pgMar w:top="2098" w:right="1247" w:bottom="1758" w:left="1588" w:header="1134" w:footer="1503" w:gutter="0"/>
          <w:cols w:space="720" w:num="1"/>
          <w:docGrid w:type="lines" w:linePitch="312" w:charSpace="0"/>
        </w:sectPr>
      </w:pPr>
    </w:p>
    <w:p>
      <w:pPr>
        <w:adjustRightInd w:val="0"/>
        <w:snapToGrid w:val="0"/>
        <w:spacing w:line="500" w:lineRule="exact"/>
        <w:jc w:val="center"/>
        <w:rPr>
          <w:rFonts w:eastAsia="方正小标宋简体"/>
          <w:spacing w:val="-16"/>
          <w:sz w:val="32"/>
          <w:szCs w:val="32"/>
        </w:rPr>
      </w:pPr>
      <w:r>
        <w:rPr>
          <w:rFonts w:hint="eastAsia" w:eastAsia="方正小标宋简体"/>
          <w:spacing w:val="-16"/>
          <w:sz w:val="32"/>
          <w:szCs w:val="32"/>
        </w:rPr>
        <w:t>目</w:t>
      </w:r>
      <w:r>
        <w:rPr>
          <w:rFonts w:eastAsia="方正小标宋简体"/>
          <w:spacing w:val="-16"/>
          <w:sz w:val="32"/>
          <w:szCs w:val="32"/>
        </w:rPr>
        <w:t xml:space="preserve">  </w:t>
      </w:r>
      <w:r>
        <w:rPr>
          <w:rFonts w:hint="eastAsia" w:eastAsia="方正小标宋简体"/>
          <w:spacing w:val="-16"/>
          <w:sz w:val="32"/>
          <w:szCs w:val="32"/>
        </w:rPr>
        <w:t>录</w:t>
      </w:r>
    </w:p>
    <w:p>
      <w:pPr>
        <w:pStyle w:val="15"/>
        <w:adjustRightInd w:val="0"/>
        <w:snapToGrid w:val="0"/>
        <w:spacing w:before="0" w:line="500" w:lineRule="exact"/>
        <w:jc w:val="right"/>
        <w:rPr>
          <w:rFonts w:ascii="Times New Roman" w:hAnsi="Times New Roman" w:eastAsia="仿宋"/>
          <w:color w:val="auto"/>
          <w:sz w:val="24"/>
          <w:szCs w:val="24"/>
        </w:rPr>
      </w:pPr>
    </w:p>
    <w:p>
      <w:pPr>
        <w:pStyle w:val="9"/>
        <w:tabs>
          <w:tab w:val="right" w:leader="dot" w:pos="9070"/>
        </w:tabs>
        <w:spacing w:line="500" w:lineRule="exact"/>
        <w:rPr>
          <w:rFonts w:ascii="黑体" w:hAnsi="黑体" w:eastAsia="黑体" w:cs="黑体"/>
          <w:b w:val="0"/>
          <w:bCs w:val="0"/>
          <w:i w:val="0"/>
          <w:iCs w:val="0"/>
          <w:szCs w:val="28"/>
        </w:rPr>
      </w:pPr>
      <w:r>
        <w:rPr>
          <w:rFonts w:hint="eastAsia" w:ascii="黑体" w:hAnsi="黑体" w:eastAsia="黑体" w:cs="黑体"/>
          <w:b w:val="0"/>
          <w:bCs w:val="0"/>
          <w:i w:val="0"/>
          <w:iCs w:val="0"/>
          <w:szCs w:val="28"/>
          <w:lang w:val="zh-CN"/>
        </w:rPr>
        <w:fldChar w:fldCharType="begin"/>
      </w:r>
      <w:r>
        <w:rPr>
          <w:rFonts w:hint="eastAsia" w:ascii="黑体" w:hAnsi="黑体" w:eastAsia="黑体" w:cs="黑体"/>
          <w:b w:val="0"/>
          <w:bCs w:val="0"/>
          <w:i w:val="0"/>
          <w:iCs w:val="0"/>
          <w:szCs w:val="28"/>
          <w:lang w:val="zh-CN"/>
        </w:rPr>
        <w:instrText xml:space="preserve"> TOC \o "1-3" \h \z \u </w:instrText>
      </w:r>
      <w:r>
        <w:rPr>
          <w:rFonts w:ascii="黑体" w:hAnsi="黑体" w:eastAsia="黑体" w:cs="黑体"/>
          <w:b w:val="0"/>
          <w:bCs w:val="0"/>
          <w:i w:val="0"/>
          <w:iCs w:val="0"/>
          <w:szCs w:val="28"/>
          <w:lang w:val="zh-CN"/>
        </w:rPr>
        <w:fldChar w:fldCharType="separate"/>
      </w:r>
      <w:r>
        <w:rPr>
          <w:rFonts w:ascii="黑体" w:hAnsi="黑体" w:eastAsia="黑体" w:cs="黑体"/>
          <w:b w:val="0"/>
          <w:bCs w:val="0"/>
          <w:i w:val="0"/>
          <w:iCs w:val="0"/>
          <w:szCs w:val="28"/>
          <w:lang w:val="zh-CN"/>
        </w:rPr>
        <w:fldChar w:fldCharType="begin"/>
      </w:r>
      <w:r>
        <w:rPr>
          <w:rFonts w:ascii="黑体" w:hAnsi="黑体" w:eastAsia="黑体" w:cs="黑体"/>
          <w:b w:val="0"/>
          <w:bCs w:val="0"/>
          <w:i w:val="0"/>
          <w:iCs w:val="0"/>
          <w:szCs w:val="28"/>
          <w:lang w:val="zh-CN"/>
        </w:rPr>
        <w:instrText xml:space="preserve">HYPERLINK "../Microsoft/Windows/INetCache/Content.Word/~Ex1305.doc" \l "_Toc29309#_Toc29309"</w:instrText>
      </w:r>
      <w:r>
        <w:rPr>
          <w:rFonts w:ascii="黑体" w:hAnsi="黑体" w:eastAsia="黑体" w:cs="黑体"/>
          <w:b w:val="0"/>
          <w:bCs w:val="0"/>
          <w:i w:val="0"/>
          <w:iCs w:val="0"/>
          <w:szCs w:val="28"/>
          <w:lang w:val="zh-CN"/>
        </w:rPr>
        <w:fldChar w:fldCharType="separate"/>
      </w:r>
      <w:r>
        <w:rPr>
          <w:rStyle w:val="14"/>
          <w:rFonts w:hint="eastAsia" w:ascii="黑体" w:hAnsi="黑体" w:eastAsia="黑体" w:cs="黑体"/>
          <w:b w:val="0"/>
          <w:bCs w:val="0"/>
          <w:i w:val="0"/>
          <w:iCs w:val="0"/>
          <w:szCs w:val="28"/>
        </w:rPr>
        <w:t>一、背景与形势</w:t>
      </w:r>
      <w:r>
        <w:rPr>
          <w:rStyle w:val="14"/>
          <w:rFonts w:hint="eastAsia" w:ascii="黑体" w:hAnsi="黑体" w:eastAsia="黑体" w:cs="黑体"/>
          <w:b w:val="0"/>
          <w:bCs w:val="0"/>
          <w:i w:val="0"/>
          <w:iCs w:val="0"/>
          <w:szCs w:val="28"/>
        </w:rPr>
        <w:tab/>
      </w:r>
      <w:r>
        <w:rPr>
          <w:rStyle w:val="14"/>
          <w:rFonts w:hint="eastAsia" w:ascii="黑体" w:hAnsi="黑体" w:eastAsia="黑体" w:cs="黑体"/>
          <w:b w:val="0"/>
          <w:bCs w:val="0"/>
          <w:i w:val="0"/>
          <w:iCs w:val="0"/>
          <w:szCs w:val="28"/>
        </w:rPr>
        <w:fldChar w:fldCharType="begin"/>
      </w:r>
      <w:r>
        <w:rPr>
          <w:rStyle w:val="14"/>
          <w:rFonts w:hint="eastAsia" w:ascii="黑体" w:hAnsi="黑体" w:eastAsia="黑体" w:cs="黑体"/>
          <w:b w:val="0"/>
          <w:bCs w:val="0"/>
          <w:i w:val="0"/>
          <w:iCs w:val="0"/>
          <w:szCs w:val="28"/>
        </w:rPr>
        <w:instrText xml:space="preserve"> PAGEREF _Toc29309 \h </w:instrText>
      </w:r>
      <w:r>
        <w:rPr>
          <w:rStyle w:val="14"/>
          <w:rFonts w:ascii="黑体" w:hAnsi="黑体" w:eastAsia="黑体" w:cs="黑体"/>
          <w:b w:val="0"/>
          <w:bCs w:val="0"/>
          <w:i w:val="0"/>
          <w:iCs w:val="0"/>
          <w:szCs w:val="28"/>
        </w:rPr>
        <w:fldChar w:fldCharType="separate"/>
      </w:r>
      <w:r>
        <w:rPr>
          <w:rStyle w:val="14"/>
          <w:rFonts w:hint="eastAsia" w:ascii="黑体" w:hAnsi="黑体" w:eastAsia="黑体" w:cs="黑体"/>
          <w:b w:val="0"/>
          <w:bCs w:val="0"/>
          <w:i w:val="0"/>
          <w:iCs w:val="0"/>
          <w:szCs w:val="28"/>
        </w:rPr>
        <w:t>5</w:t>
      </w:r>
      <w:r>
        <w:rPr>
          <w:rStyle w:val="14"/>
          <w:rFonts w:hint="eastAsia" w:ascii="黑体" w:hAnsi="黑体" w:eastAsia="黑体" w:cs="黑体"/>
          <w:b w:val="0"/>
          <w:bCs w:val="0"/>
          <w:i w:val="0"/>
          <w:iCs w:val="0"/>
          <w:szCs w:val="28"/>
        </w:rPr>
        <w:fldChar w:fldCharType="end"/>
      </w:r>
      <w:r>
        <w:rPr>
          <w:rFonts w:ascii="黑体" w:hAnsi="黑体" w:eastAsia="黑体" w:cs="黑体"/>
          <w:b w:val="0"/>
          <w:bCs w:val="0"/>
          <w:i w:val="0"/>
          <w:iCs w:val="0"/>
          <w:szCs w:val="28"/>
          <w:lang w:val="zh-CN"/>
        </w:rPr>
        <w:fldChar w:fldCharType="end"/>
      </w:r>
    </w:p>
    <w:p>
      <w:pPr>
        <w:pStyle w:val="10"/>
        <w:tabs>
          <w:tab w:val="right" w:leader="dot" w:pos="9070"/>
        </w:tabs>
        <w:spacing w:line="500" w:lineRule="exact"/>
        <w:rPr>
          <w:rFonts w:hint="eastAsia" w:ascii="黑体" w:hAnsi="黑体" w:eastAsia="黑体" w:cs="黑体"/>
          <w:b w:val="0"/>
          <w:bCs w:val="0"/>
          <w:sz w:val="28"/>
          <w:szCs w:val="28"/>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"_Toc7399#_Toc7399"</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（一）“十三五”工作成效</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_Toc7399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5</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pStyle w:val="10"/>
        <w:tabs>
          <w:tab w:val="right" w:leader="dot" w:pos="9070"/>
        </w:tabs>
        <w:spacing w:line="500" w:lineRule="exact"/>
        <w:rPr>
          <w:rFonts w:hint="eastAsia" w:ascii="黑体" w:hAnsi="黑体" w:eastAsia="黑体" w:cs="黑体"/>
          <w:b w:val="0"/>
          <w:bCs w:val="0"/>
          <w:sz w:val="28"/>
          <w:szCs w:val="28"/>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"_Toc554#_Toc554"</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（二）形势研判</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_Toc554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7</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pStyle w:val="8"/>
        <w:tabs>
          <w:tab w:val="right" w:leader="dot" w:pos="9070"/>
          <w:tab w:val="clear" w:pos="8296"/>
        </w:tabs>
        <w:spacing w:line="500" w:lineRule="exact"/>
        <w:rPr>
          <w:rFonts w:hint="eastAsia" w:ascii="黑体" w:hAnsi="黑体" w:eastAsia="黑体" w:cs="黑体"/>
          <w:sz w:val="28"/>
          <w:szCs w:val="28"/>
        </w:rPr>
      </w:pPr>
      <w:r>
        <w:rPr>
          <w:rFonts w:ascii="黑体" w:hAnsi="黑体" w:eastAsia="黑体" w:cs="黑体"/>
          <w:sz w:val="28"/>
          <w:szCs w:val="28"/>
          <w:lang w:val="zh-CN"/>
        </w:rPr>
        <w:fldChar w:fldCharType="begin"/>
      </w:r>
      <w:r>
        <w:rPr>
          <w:rFonts w:ascii="黑体" w:hAnsi="黑体" w:eastAsia="黑体" w:cs="黑体"/>
          <w:sz w:val="28"/>
          <w:szCs w:val="28"/>
          <w:lang w:val="zh-CN"/>
        </w:rPr>
        <w:instrText xml:space="preserve">HYPERLINK "../Microsoft/Windows/INetCache/Content.Word/~Ex1305.doc" \l "_Toc29519#_Toc29519"</w:instrText>
      </w:r>
      <w:r>
        <w:rPr>
          <w:rFonts w:ascii="黑体" w:hAnsi="黑体" w:eastAsia="黑体" w:cs="黑体"/>
          <w:sz w:val="28"/>
          <w:szCs w:val="28"/>
          <w:lang w:val="zh-CN"/>
        </w:rPr>
        <w:fldChar w:fldCharType="separate"/>
      </w:r>
      <w:r>
        <w:rPr>
          <w:rStyle w:val="14"/>
          <w:rFonts w:hint="eastAsia" w:ascii="黑体" w:hAnsi="黑体" w:eastAsia="黑体" w:cs="黑体"/>
          <w:sz w:val="28"/>
          <w:szCs w:val="28"/>
        </w:rPr>
        <w:t>1.面临的机遇</w:t>
      </w:r>
      <w:r>
        <w:rPr>
          <w:rStyle w:val="14"/>
          <w:rFonts w:hint="eastAsia" w:ascii="黑体" w:hAnsi="黑体" w:eastAsia="黑体" w:cs="黑体"/>
          <w:sz w:val="28"/>
          <w:szCs w:val="28"/>
        </w:rPr>
        <w:tab/>
      </w:r>
      <w:r>
        <w:rPr>
          <w:rStyle w:val="14"/>
          <w:rFonts w:hint="eastAsia" w:ascii="黑体" w:hAnsi="黑体" w:eastAsia="黑体" w:cs="黑体"/>
          <w:sz w:val="28"/>
          <w:szCs w:val="28"/>
        </w:rPr>
        <w:fldChar w:fldCharType="begin"/>
      </w:r>
      <w:r>
        <w:rPr>
          <w:rStyle w:val="14"/>
          <w:rFonts w:hint="eastAsia" w:ascii="黑体" w:hAnsi="黑体" w:eastAsia="黑体" w:cs="黑体"/>
          <w:sz w:val="28"/>
          <w:szCs w:val="28"/>
        </w:rPr>
        <w:instrText xml:space="preserve"> PAGEREF _Toc29519 \h </w:instrText>
      </w:r>
      <w:r>
        <w:rPr>
          <w:rStyle w:val="14"/>
          <w:rFonts w:ascii="黑体" w:hAnsi="黑体" w:eastAsia="黑体" w:cs="黑体"/>
          <w:sz w:val="28"/>
          <w:szCs w:val="28"/>
        </w:rPr>
        <w:fldChar w:fldCharType="separate"/>
      </w:r>
      <w:r>
        <w:rPr>
          <w:rStyle w:val="14"/>
          <w:rFonts w:hint="eastAsia" w:ascii="黑体" w:hAnsi="黑体" w:eastAsia="黑体" w:cs="黑体"/>
          <w:sz w:val="28"/>
          <w:szCs w:val="28"/>
        </w:rPr>
        <w:t>7</w:t>
      </w:r>
      <w:r>
        <w:rPr>
          <w:rStyle w:val="14"/>
          <w:rFonts w:hint="eastAsia" w:ascii="黑体" w:hAnsi="黑体" w:eastAsia="黑体" w:cs="黑体"/>
          <w:sz w:val="28"/>
          <w:szCs w:val="28"/>
        </w:rPr>
        <w:fldChar w:fldCharType="end"/>
      </w:r>
      <w:r>
        <w:rPr>
          <w:rFonts w:ascii="黑体" w:hAnsi="黑体" w:eastAsia="黑体" w:cs="黑体"/>
          <w:sz w:val="28"/>
          <w:szCs w:val="28"/>
          <w:lang w:val="zh-CN"/>
        </w:rPr>
        <w:fldChar w:fldCharType="end"/>
      </w:r>
    </w:p>
    <w:p>
      <w:pPr>
        <w:pStyle w:val="8"/>
        <w:tabs>
          <w:tab w:val="right" w:leader="dot" w:pos="9070"/>
          <w:tab w:val="clear" w:pos="8296"/>
        </w:tabs>
        <w:spacing w:line="500" w:lineRule="exact"/>
        <w:rPr>
          <w:rFonts w:hint="eastAsia" w:ascii="黑体" w:hAnsi="黑体" w:eastAsia="黑体" w:cs="黑体"/>
          <w:sz w:val="28"/>
          <w:szCs w:val="28"/>
        </w:rPr>
      </w:pPr>
      <w:r>
        <w:rPr>
          <w:rFonts w:ascii="黑体" w:hAnsi="黑体" w:eastAsia="黑体" w:cs="黑体"/>
          <w:sz w:val="28"/>
          <w:szCs w:val="28"/>
          <w:lang w:val="zh-CN"/>
        </w:rPr>
        <w:fldChar w:fldCharType="begin"/>
      </w:r>
      <w:r>
        <w:rPr>
          <w:rFonts w:ascii="黑体" w:hAnsi="黑体" w:eastAsia="黑体" w:cs="黑体"/>
          <w:sz w:val="28"/>
          <w:szCs w:val="28"/>
          <w:lang w:val="zh-CN"/>
        </w:rPr>
        <w:instrText xml:space="preserve">HYPERLINK "../Microsoft/Windows/INetCache/Content.Word/~Ex1305.doc" \l "_Toc4550#_Toc4550"</w:instrText>
      </w:r>
      <w:r>
        <w:rPr>
          <w:rFonts w:ascii="黑体" w:hAnsi="黑体" w:eastAsia="黑体" w:cs="黑体"/>
          <w:sz w:val="28"/>
          <w:szCs w:val="28"/>
          <w:lang w:val="zh-CN"/>
        </w:rPr>
        <w:fldChar w:fldCharType="separate"/>
      </w:r>
      <w:r>
        <w:rPr>
          <w:rStyle w:val="14"/>
          <w:rFonts w:hint="eastAsia" w:ascii="黑体" w:hAnsi="黑体" w:eastAsia="黑体" w:cs="黑体"/>
          <w:sz w:val="28"/>
          <w:szCs w:val="28"/>
        </w:rPr>
        <w:t>2.面临的挑战</w:t>
      </w:r>
      <w:r>
        <w:rPr>
          <w:rStyle w:val="14"/>
          <w:rFonts w:hint="eastAsia" w:ascii="黑体" w:hAnsi="黑体" w:eastAsia="黑体" w:cs="黑体"/>
          <w:sz w:val="28"/>
          <w:szCs w:val="28"/>
        </w:rPr>
        <w:tab/>
      </w:r>
      <w:r>
        <w:rPr>
          <w:rStyle w:val="14"/>
          <w:rFonts w:hint="eastAsia" w:ascii="黑体" w:hAnsi="黑体" w:eastAsia="黑体" w:cs="黑体"/>
          <w:sz w:val="28"/>
          <w:szCs w:val="28"/>
        </w:rPr>
        <w:fldChar w:fldCharType="begin"/>
      </w:r>
      <w:r>
        <w:rPr>
          <w:rStyle w:val="14"/>
          <w:rFonts w:hint="eastAsia" w:ascii="黑体" w:hAnsi="黑体" w:eastAsia="黑体" w:cs="黑体"/>
          <w:sz w:val="28"/>
          <w:szCs w:val="28"/>
        </w:rPr>
        <w:instrText xml:space="preserve"> PAGEREF _Toc4550 \h </w:instrText>
      </w:r>
      <w:r>
        <w:rPr>
          <w:rStyle w:val="14"/>
          <w:rFonts w:ascii="黑体" w:hAnsi="黑体" w:eastAsia="黑体" w:cs="黑体"/>
          <w:sz w:val="28"/>
          <w:szCs w:val="28"/>
        </w:rPr>
        <w:fldChar w:fldCharType="separate"/>
      </w:r>
      <w:r>
        <w:rPr>
          <w:rStyle w:val="14"/>
          <w:rFonts w:hint="eastAsia" w:ascii="黑体" w:hAnsi="黑体" w:eastAsia="黑体" w:cs="黑体"/>
          <w:sz w:val="28"/>
          <w:szCs w:val="28"/>
        </w:rPr>
        <w:t>8</w:t>
      </w:r>
      <w:r>
        <w:rPr>
          <w:rStyle w:val="14"/>
          <w:rFonts w:hint="eastAsia" w:ascii="黑体" w:hAnsi="黑体" w:eastAsia="黑体" w:cs="黑体"/>
          <w:sz w:val="28"/>
          <w:szCs w:val="28"/>
        </w:rPr>
        <w:fldChar w:fldCharType="end"/>
      </w:r>
      <w:r>
        <w:rPr>
          <w:rFonts w:ascii="黑体" w:hAnsi="黑体" w:eastAsia="黑体" w:cs="黑体"/>
          <w:sz w:val="28"/>
          <w:szCs w:val="28"/>
          <w:lang w:val="zh-CN"/>
        </w:rPr>
        <w:fldChar w:fldCharType="end"/>
      </w:r>
    </w:p>
    <w:p>
      <w:pPr>
        <w:pStyle w:val="9"/>
        <w:tabs>
          <w:tab w:val="right" w:leader="dot" w:pos="9070"/>
        </w:tabs>
        <w:spacing w:line="500" w:lineRule="exact"/>
        <w:rPr>
          <w:rFonts w:hint="eastAsia" w:ascii="黑体" w:hAnsi="黑体" w:eastAsia="黑体" w:cs="黑体"/>
          <w:b w:val="0"/>
          <w:bCs w:val="0"/>
          <w:i w:val="0"/>
          <w:iCs w:val="0"/>
          <w:szCs w:val="28"/>
        </w:rPr>
      </w:pPr>
      <w:r>
        <w:rPr>
          <w:rFonts w:ascii="黑体" w:hAnsi="黑体" w:eastAsia="黑体" w:cs="黑体"/>
          <w:b w:val="0"/>
          <w:bCs w:val="0"/>
          <w:i w:val="0"/>
          <w:iCs w:val="0"/>
          <w:szCs w:val="28"/>
          <w:lang w:val="zh-CN"/>
        </w:rPr>
        <w:fldChar w:fldCharType="begin"/>
      </w:r>
      <w:r>
        <w:rPr>
          <w:rFonts w:ascii="黑体" w:hAnsi="黑体" w:eastAsia="黑体" w:cs="黑体"/>
          <w:b w:val="0"/>
          <w:bCs w:val="0"/>
          <w:i w:val="0"/>
          <w:iCs w:val="0"/>
          <w:szCs w:val="28"/>
          <w:lang w:val="zh-CN"/>
        </w:rPr>
        <w:instrText xml:space="preserve">HYPERLINK "../Microsoft/Windows/INetCache/Content.Word/~Ex1305.doc" \l "_Toc8857#_Toc8857"</w:instrText>
      </w:r>
      <w:r>
        <w:rPr>
          <w:rFonts w:ascii="黑体" w:hAnsi="黑体" w:eastAsia="黑体" w:cs="黑体"/>
          <w:b w:val="0"/>
          <w:bCs w:val="0"/>
          <w:i w:val="0"/>
          <w:iCs w:val="0"/>
          <w:szCs w:val="28"/>
          <w:lang w:val="zh-CN"/>
        </w:rPr>
        <w:fldChar w:fldCharType="separate"/>
      </w:r>
      <w:r>
        <w:rPr>
          <w:rStyle w:val="14"/>
          <w:rFonts w:hint="eastAsia" w:ascii="黑体" w:hAnsi="黑体" w:eastAsia="黑体" w:cs="黑体"/>
          <w:b w:val="0"/>
          <w:bCs w:val="0"/>
          <w:i w:val="0"/>
          <w:iCs w:val="0"/>
          <w:szCs w:val="28"/>
        </w:rPr>
        <w:t>二、总体要求</w:t>
      </w:r>
      <w:r>
        <w:rPr>
          <w:rStyle w:val="14"/>
          <w:rFonts w:hint="eastAsia" w:ascii="黑体" w:hAnsi="黑体" w:eastAsia="黑体" w:cs="黑体"/>
          <w:b w:val="0"/>
          <w:bCs w:val="0"/>
          <w:i w:val="0"/>
          <w:iCs w:val="0"/>
          <w:szCs w:val="28"/>
        </w:rPr>
        <w:tab/>
      </w:r>
      <w:r>
        <w:rPr>
          <w:rStyle w:val="14"/>
          <w:rFonts w:hint="eastAsia" w:ascii="黑体" w:hAnsi="黑体" w:eastAsia="黑体" w:cs="黑体"/>
          <w:b w:val="0"/>
          <w:bCs w:val="0"/>
          <w:i w:val="0"/>
          <w:iCs w:val="0"/>
          <w:szCs w:val="28"/>
        </w:rPr>
        <w:fldChar w:fldCharType="begin"/>
      </w:r>
      <w:r>
        <w:rPr>
          <w:rStyle w:val="14"/>
          <w:rFonts w:hint="eastAsia" w:ascii="黑体" w:hAnsi="黑体" w:eastAsia="黑体" w:cs="黑体"/>
          <w:b w:val="0"/>
          <w:bCs w:val="0"/>
          <w:i w:val="0"/>
          <w:iCs w:val="0"/>
          <w:szCs w:val="28"/>
        </w:rPr>
        <w:instrText xml:space="preserve"> PAGEREF _Toc8857 \h </w:instrText>
      </w:r>
      <w:r>
        <w:rPr>
          <w:rStyle w:val="14"/>
          <w:rFonts w:ascii="黑体" w:hAnsi="黑体" w:eastAsia="黑体" w:cs="黑体"/>
          <w:b w:val="0"/>
          <w:bCs w:val="0"/>
          <w:i w:val="0"/>
          <w:iCs w:val="0"/>
          <w:szCs w:val="28"/>
        </w:rPr>
        <w:fldChar w:fldCharType="separate"/>
      </w:r>
      <w:r>
        <w:rPr>
          <w:rStyle w:val="14"/>
          <w:rFonts w:hint="eastAsia" w:ascii="黑体" w:hAnsi="黑体" w:eastAsia="黑体" w:cs="黑体"/>
          <w:b w:val="0"/>
          <w:bCs w:val="0"/>
          <w:i w:val="0"/>
          <w:iCs w:val="0"/>
          <w:szCs w:val="28"/>
        </w:rPr>
        <w:t>10</w:t>
      </w:r>
      <w:r>
        <w:rPr>
          <w:rStyle w:val="14"/>
          <w:rFonts w:hint="eastAsia" w:ascii="黑体" w:hAnsi="黑体" w:eastAsia="黑体" w:cs="黑体"/>
          <w:b w:val="0"/>
          <w:bCs w:val="0"/>
          <w:i w:val="0"/>
          <w:iCs w:val="0"/>
          <w:szCs w:val="28"/>
        </w:rPr>
        <w:fldChar w:fldCharType="end"/>
      </w:r>
      <w:r>
        <w:rPr>
          <w:rFonts w:ascii="黑体" w:hAnsi="黑体" w:eastAsia="黑体" w:cs="黑体"/>
          <w:b w:val="0"/>
          <w:bCs w:val="0"/>
          <w:i w:val="0"/>
          <w:iCs w:val="0"/>
          <w:szCs w:val="28"/>
          <w:lang w:val="zh-CN"/>
        </w:rPr>
        <w:fldChar w:fldCharType="end"/>
      </w:r>
    </w:p>
    <w:p>
      <w:pPr>
        <w:pStyle w:val="10"/>
        <w:tabs>
          <w:tab w:val="right" w:leader="dot" w:pos="9070"/>
        </w:tabs>
        <w:spacing w:line="500" w:lineRule="exact"/>
        <w:rPr>
          <w:rFonts w:hint="eastAsia" w:ascii="黑体" w:hAnsi="黑体" w:eastAsia="黑体" w:cs="黑体"/>
          <w:b w:val="0"/>
          <w:bCs w:val="0"/>
          <w:sz w:val="28"/>
          <w:szCs w:val="28"/>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"_Toc9638#_Toc9638"</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（一）指导思想</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_Toc9638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10</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pStyle w:val="10"/>
        <w:tabs>
          <w:tab w:val="right" w:leader="dot" w:pos="9070"/>
        </w:tabs>
        <w:spacing w:line="500" w:lineRule="exact"/>
        <w:rPr>
          <w:rFonts w:hint="eastAsia" w:ascii="黑体" w:hAnsi="黑体" w:eastAsia="黑体" w:cs="黑体"/>
          <w:b w:val="0"/>
          <w:bCs w:val="0"/>
          <w:sz w:val="28"/>
          <w:szCs w:val="28"/>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"_Toc19808#_Toc19808"</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（二）工作原则</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_Toc19808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10</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pStyle w:val="10"/>
        <w:tabs>
          <w:tab w:val="right" w:leader="dot" w:pos="9070"/>
        </w:tabs>
        <w:spacing w:line="500" w:lineRule="exact"/>
        <w:rPr>
          <w:rFonts w:hint="eastAsia" w:ascii="黑体" w:hAnsi="黑体" w:eastAsia="黑体" w:cs="黑体"/>
          <w:b w:val="0"/>
          <w:bCs w:val="0"/>
          <w:sz w:val="28"/>
          <w:szCs w:val="28"/>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"_Toc3909#_Toc3909"</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（三）主要目标</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_Toc3909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11</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pStyle w:val="9"/>
        <w:tabs>
          <w:tab w:val="right" w:leader="dot" w:pos="9070"/>
        </w:tabs>
        <w:spacing w:line="500" w:lineRule="exact"/>
        <w:rPr>
          <w:rFonts w:hint="eastAsia" w:ascii="黑体" w:hAnsi="黑体" w:eastAsia="黑体" w:cs="黑体"/>
          <w:b w:val="0"/>
          <w:bCs w:val="0"/>
          <w:i w:val="0"/>
          <w:iCs w:val="0"/>
          <w:szCs w:val="28"/>
        </w:rPr>
      </w:pPr>
      <w:r>
        <w:rPr>
          <w:rFonts w:ascii="黑体" w:hAnsi="黑体" w:eastAsia="黑体" w:cs="黑体"/>
          <w:b w:val="0"/>
          <w:bCs w:val="0"/>
          <w:i w:val="0"/>
          <w:iCs w:val="0"/>
          <w:szCs w:val="28"/>
          <w:lang w:val="zh-CN"/>
        </w:rPr>
        <w:fldChar w:fldCharType="begin"/>
      </w:r>
      <w:r>
        <w:rPr>
          <w:rFonts w:ascii="黑体" w:hAnsi="黑体" w:eastAsia="黑体" w:cs="黑体"/>
          <w:b w:val="0"/>
          <w:bCs w:val="0"/>
          <w:i w:val="0"/>
          <w:iCs w:val="0"/>
          <w:szCs w:val="28"/>
          <w:lang w:val="zh-CN"/>
        </w:rPr>
        <w:instrText xml:space="preserve">HYPERLINK "../Microsoft/Windows/INetCache/Content.Word/~Ex1305.doc" \l "_Toc31566#_Toc31566"</w:instrText>
      </w:r>
      <w:r>
        <w:rPr>
          <w:rFonts w:ascii="黑体" w:hAnsi="黑体" w:eastAsia="黑体" w:cs="黑体"/>
          <w:b w:val="0"/>
          <w:bCs w:val="0"/>
          <w:i w:val="0"/>
          <w:iCs w:val="0"/>
          <w:szCs w:val="28"/>
          <w:lang w:val="zh-CN"/>
        </w:rPr>
        <w:fldChar w:fldCharType="separate"/>
      </w:r>
      <w:r>
        <w:rPr>
          <w:rStyle w:val="14"/>
          <w:rFonts w:hint="eastAsia" w:ascii="黑体" w:hAnsi="黑体" w:eastAsia="黑体" w:cs="黑体"/>
          <w:b w:val="0"/>
          <w:bCs w:val="0"/>
          <w:i w:val="0"/>
          <w:iCs w:val="0"/>
          <w:szCs w:val="28"/>
        </w:rPr>
        <w:t>三、主要任务</w:t>
      </w:r>
      <w:r>
        <w:rPr>
          <w:rStyle w:val="14"/>
          <w:rFonts w:hint="eastAsia" w:ascii="黑体" w:hAnsi="黑体" w:eastAsia="黑体" w:cs="黑体"/>
          <w:b w:val="0"/>
          <w:bCs w:val="0"/>
          <w:i w:val="0"/>
          <w:iCs w:val="0"/>
          <w:szCs w:val="28"/>
        </w:rPr>
        <w:tab/>
      </w:r>
      <w:r>
        <w:rPr>
          <w:rStyle w:val="14"/>
          <w:rFonts w:hint="eastAsia" w:ascii="黑体" w:hAnsi="黑体" w:eastAsia="黑体" w:cs="黑体"/>
          <w:b w:val="0"/>
          <w:bCs w:val="0"/>
          <w:i w:val="0"/>
          <w:iCs w:val="0"/>
          <w:szCs w:val="28"/>
        </w:rPr>
        <w:fldChar w:fldCharType="begin"/>
      </w:r>
      <w:r>
        <w:rPr>
          <w:rStyle w:val="14"/>
          <w:rFonts w:hint="eastAsia" w:ascii="黑体" w:hAnsi="黑体" w:eastAsia="黑体" w:cs="黑体"/>
          <w:b w:val="0"/>
          <w:bCs w:val="0"/>
          <w:i w:val="0"/>
          <w:iCs w:val="0"/>
          <w:szCs w:val="28"/>
        </w:rPr>
        <w:instrText xml:space="preserve"> PAGEREF _Toc31566 \h </w:instrText>
      </w:r>
      <w:r>
        <w:rPr>
          <w:rStyle w:val="14"/>
          <w:rFonts w:ascii="黑体" w:hAnsi="黑体" w:eastAsia="黑体" w:cs="黑体"/>
          <w:b w:val="0"/>
          <w:bCs w:val="0"/>
          <w:i w:val="0"/>
          <w:iCs w:val="0"/>
          <w:szCs w:val="28"/>
        </w:rPr>
        <w:fldChar w:fldCharType="separate"/>
      </w:r>
      <w:r>
        <w:rPr>
          <w:rStyle w:val="14"/>
          <w:rFonts w:hint="eastAsia" w:ascii="黑体" w:hAnsi="黑体" w:eastAsia="黑体" w:cs="黑体"/>
          <w:b w:val="0"/>
          <w:bCs w:val="0"/>
          <w:i w:val="0"/>
          <w:iCs w:val="0"/>
          <w:szCs w:val="28"/>
        </w:rPr>
        <w:t>12</w:t>
      </w:r>
      <w:r>
        <w:rPr>
          <w:rStyle w:val="14"/>
          <w:rFonts w:hint="eastAsia" w:ascii="黑体" w:hAnsi="黑体" w:eastAsia="黑体" w:cs="黑体"/>
          <w:b w:val="0"/>
          <w:bCs w:val="0"/>
          <w:i w:val="0"/>
          <w:iCs w:val="0"/>
          <w:szCs w:val="28"/>
        </w:rPr>
        <w:fldChar w:fldCharType="end"/>
      </w:r>
      <w:r>
        <w:rPr>
          <w:rFonts w:ascii="黑体" w:hAnsi="黑体" w:eastAsia="黑体" w:cs="黑体"/>
          <w:b w:val="0"/>
          <w:bCs w:val="0"/>
          <w:i w:val="0"/>
          <w:iCs w:val="0"/>
          <w:szCs w:val="28"/>
          <w:lang w:val="zh-CN"/>
        </w:rPr>
        <w:fldChar w:fldCharType="end"/>
      </w:r>
    </w:p>
    <w:p>
      <w:pPr>
        <w:pStyle w:val="10"/>
        <w:tabs>
          <w:tab w:val="right" w:leader="dot" w:pos="9070"/>
        </w:tabs>
        <w:spacing w:line="500" w:lineRule="exact"/>
        <w:rPr>
          <w:rFonts w:hint="eastAsia" w:ascii="黑体" w:hAnsi="黑体" w:eastAsia="黑体" w:cs="黑体"/>
          <w:b w:val="0"/>
          <w:bCs w:val="0"/>
          <w:sz w:val="28"/>
          <w:szCs w:val="28"/>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"_Toc19257#_Toc19257"</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（一）加强土壤污染风险管控</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_Toc19257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12</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pStyle w:val="8"/>
        <w:tabs>
          <w:tab w:val="right" w:leader="dot" w:pos="9070"/>
          <w:tab w:val="clear" w:pos="8296"/>
        </w:tabs>
        <w:spacing w:line="500" w:lineRule="exact"/>
        <w:rPr>
          <w:rFonts w:hint="eastAsia" w:ascii="黑体" w:hAnsi="黑体" w:eastAsia="黑体" w:cs="黑体"/>
          <w:sz w:val="28"/>
          <w:szCs w:val="28"/>
        </w:rPr>
      </w:pPr>
      <w:r>
        <w:rPr>
          <w:rFonts w:ascii="黑体" w:hAnsi="黑体" w:eastAsia="黑体" w:cs="黑体"/>
          <w:sz w:val="28"/>
          <w:szCs w:val="28"/>
          <w:lang w:val="zh-CN"/>
        </w:rPr>
        <w:fldChar w:fldCharType="begin"/>
      </w:r>
      <w:r>
        <w:rPr>
          <w:rFonts w:ascii="黑体" w:hAnsi="黑体" w:eastAsia="黑体" w:cs="黑体"/>
          <w:sz w:val="28"/>
          <w:szCs w:val="28"/>
          <w:lang w:val="zh-CN"/>
        </w:rPr>
        <w:instrText xml:space="preserve">HYPERLINK "../Microsoft/Windows/INetCache/Content.Word/~Ex1305.doc" \l "_Toc25557#_Toc25557"</w:instrText>
      </w:r>
      <w:r>
        <w:rPr>
          <w:rFonts w:ascii="黑体" w:hAnsi="黑体" w:eastAsia="黑体" w:cs="黑体"/>
          <w:sz w:val="28"/>
          <w:szCs w:val="28"/>
          <w:lang w:val="zh-CN"/>
        </w:rPr>
        <w:fldChar w:fldCharType="separate"/>
      </w:r>
      <w:r>
        <w:rPr>
          <w:rStyle w:val="14"/>
          <w:rFonts w:hint="eastAsia" w:ascii="黑体" w:hAnsi="黑体" w:eastAsia="黑体" w:cs="黑体"/>
          <w:sz w:val="28"/>
          <w:szCs w:val="28"/>
        </w:rPr>
        <w:t>1.进一步摸清土壤环境质量状况</w:t>
      </w:r>
      <w:r>
        <w:rPr>
          <w:rStyle w:val="14"/>
          <w:rFonts w:hint="eastAsia" w:ascii="黑体" w:hAnsi="黑体" w:eastAsia="黑体" w:cs="黑体"/>
          <w:sz w:val="28"/>
          <w:szCs w:val="28"/>
        </w:rPr>
        <w:tab/>
      </w:r>
      <w:r>
        <w:rPr>
          <w:rStyle w:val="14"/>
          <w:rFonts w:hint="eastAsia" w:ascii="黑体" w:hAnsi="黑体" w:eastAsia="黑体" w:cs="黑体"/>
          <w:sz w:val="28"/>
          <w:szCs w:val="28"/>
        </w:rPr>
        <w:fldChar w:fldCharType="begin"/>
      </w:r>
      <w:r>
        <w:rPr>
          <w:rStyle w:val="14"/>
          <w:rFonts w:hint="eastAsia" w:ascii="黑体" w:hAnsi="黑体" w:eastAsia="黑体" w:cs="黑体"/>
          <w:sz w:val="28"/>
          <w:szCs w:val="28"/>
        </w:rPr>
        <w:instrText xml:space="preserve"> PAGEREF _Toc25557 \h </w:instrText>
      </w:r>
      <w:r>
        <w:rPr>
          <w:rStyle w:val="14"/>
          <w:rFonts w:ascii="黑体" w:hAnsi="黑体" w:eastAsia="黑体" w:cs="黑体"/>
          <w:sz w:val="28"/>
          <w:szCs w:val="28"/>
        </w:rPr>
        <w:fldChar w:fldCharType="separate"/>
      </w:r>
      <w:r>
        <w:rPr>
          <w:rStyle w:val="14"/>
          <w:rFonts w:hint="eastAsia" w:ascii="黑体" w:hAnsi="黑体" w:eastAsia="黑体" w:cs="黑体"/>
          <w:sz w:val="28"/>
          <w:szCs w:val="28"/>
        </w:rPr>
        <w:t>12</w:t>
      </w:r>
      <w:r>
        <w:rPr>
          <w:rStyle w:val="14"/>
          <w:rFonts w:hint="eastAsia" w:ascii="黑体" w:hAnsi="黑体" w:eastAsia="黑体" w:cs="黑体"/>
          <w:sz w:val="28"/>
          <w:szCs w:val="28"/>
        </w:rPr>
        <w:fldChar w:fldCharType="end"/>
      </w:r>
      <w:r>
        <w:rPr>
          <w:rFonts w:ascii="黑体" w:hAnsi="黑体" w:eastAsia="黑体" w:cs="黑体"/>
          <w:sz w:val="28"/>
          <w:szCs w:val="28"/>
          <w:lang w:val="zh-CN"/>
        </w:rPr>
        <w:fldChar w:fldCharType="end"/>
      </w:r>
    </w:p>
    <w:p>
      <w:pPr>
        <w:pStyle w:val="8"/>
        <w:tabs>
          <w:tab w:val="right" w:leader="dot" w:pos="9070"/>
          <w:tab w:val="clear" w:pos="8296"/>
        </w:tabs>
        <w:spacing w:line="500" w:lineRule="exact"/>
        <w:rPr>
          <w:rFonts w:hint="eastAsia" w:ascii="黑体" w:hAnsi="黑体" w:eastAsia="黑体" w:cs="黑体"/>
          <w:sz w:val="28"/>
          <w:szCs w:val="28"/>
        </w:rPr>
      </w:pPr>
      <w:r>
        <w:rPr>
          <w:rFonts w:ascii="黑体" w:hAnsi="黑体" w:eastAsia="黑体" w:cs="黑体"/>
          <w:sz w:val="28"/>
          <w:szCs w:val="28"/>
          <w:lang w:val="zh-CN"/>
        </w:rPr>
        <w:fldChar w:fldCharType="begin"/>
      </w:r>
      <w:r>
        <w:rPr>
          <w:rFonts w:ascii="黑体" w:hAnsi="黑体" w:eastAsia="黑体" w:cs="黑体"/>
          <w:sz w:val="28"/>
          <w:szCs w:val="28"/>
          <w:lang w:val="zh-CN"/>
        </w:rPr>
        <w:instrText xml:space="preserve">HYPERLINK "../Microsoft/Windows/INetCache/Content.Word/~Ex1305.doc" \l "_Toc29592#_Toc29592"</w:instrText>
      </w:r>
      <w:r>
        <w:rPr>
          <w:rFonts w:ascii="黑体" w:hAnsi="黑体" w:eastAsia="黑体" w:cs="黑体"/>
          <w:sz w:val="28"/>
          <w:szCs w:val="28"/>
          <w:lang w:val="zh-CN"/>
        </w:rPr>
        <w:fldChar w:fldCharType="separate"/>
      </w:r>
      <w:r>
        <w:rPr>
          <w:rStyle w:val="14"/>
          <w:rFonts w:hint="eastAsia" w:ascii="黑体" w:hAnsi="黑体" w:eastAsia="黑体" w:cs="黑体"/>
          <w:sz w:val="28"/>
          <w:szCs w:val="28"/>
        </w:rPr>
        <w:t>2.持续推进土壤污染源头防控</w:t>
      </w:r>
      <w:r>
        <w:rPr>
          <w:rStyle w:val="14"/>
          <w:rFonts w:hint="eastAsia" w:ascii="黑体" w:hAnsi="黑体" w:eastAsia="黑体" w:cs="黑体"/>
          <w:sz w:val="28"/>
          <w:szCs w:val="28"/>
        </w:rPr>
        <w:tab/>
      </w:r>
      <w:r>
        <w:rPr>
          <w:rStyle w:val="14"/>
          <w:rFonts w:hint="eastAsia" w:ascii="黑体" w:hAnsi="黑体" w:eastAsia="黑体" w:cs="黑体"/>
          <w:sz w:val="28"/>
          <w:szCs w:val="28"/>
        </w:rPr>
        <w:fldChar w:fldCharType="begin"/>
      </w:r>
      <w:r>
        <w:rPr>
          <w:rStyle w:val="14"/>
          <w:rFonts w:hint="eastAsia" w:ascii="黑体" w:hAnsi="黑体" w:eastAsia="黑体" w:cs="黑体"/>
          <w:sz w:val="28"/>
          <w:szCs w:val="28"/>
        </w:rPr>
        <w:instrText xml:space="preserve"> PAGEREF _Toc29592 \h </w:instrText>
      </w:r>
      <w:r>
        <w:rPr>
          <w:rStyle w:val="14"/>
          <w:rFonts w:ascii="黑体" w:hAnsi="黑体" w:eastAsia="黑体" w:cs="黑体"/>
          <w:sz w:val="28"/>
          <w:szCs w:val="28"/>
        </w:rPr>
        <w:fldChar w:fldCharType="separate"/>
      </w:r>
      <w:r>
        <w:rPr>
          <w:rStyle w:val="14"/>
          <w:rFonts w:hint="eastAsia" w:ascii="黑体" w:hAnsi="黑体" w:eastAsia="黑体" w:cs="黑体"/>
          <w:sz w:val="28"/>
          <w:szCs w:val="28"/>
        </w:rPr>
        <w:t>12</w:t>
      </w:r>
      <w:r>
        <w:rPr>
          <w:rStyle w:val="14"/>
          <w:rFonts w:hint="eastAsia" w:ascii="黑体" w:hAnsi="黑体" w:eastAsia="黑体" w:cs="黑体"/>
          <w:sz w:val="28"/>
          <w:szCs w:val="28"/>
        </w:rPr>
        <w:fldChar w:fldCharType="end"/>
      </w:r>
      <w:r>
        <w:rPr>
          <w:rFonts w:ascii="黑体" w:hAnsi="黑体" w:eastAsia="黑体" w:cs="黑体"/>
          <w:sz w:val="28"/>
          <w:szCs w:val="28"/>
          <w:lang w:val="zh-CN"/>
        </w:rPr>
        <w:fldChar w:fldCharType="end"/>
      </w:r>
    </w:p>
    <w:p>
      <w:pPr>
        <w:pStyle w:val="8"/>
        <w:tabs>
          <w:tab w:val="right" w:leader="dot" w:pos="9070"/>
          <w:tab w:val="clear" w:pos="8296"/>
        </w:tabs>
        <w:spacing w:line="500" w:lineRule="exact"/>
        <w:rPr>
          <w:rFonts w:hint="eastAsia" w:ascii="黑体" w:hAnsi="黑体" w:eastAsia="黑体" w:cs="黑体"/>
          <w:sz w:val="28"/>
          <w:szCs w:val="28"/>
        </w:rPr>
      </w:pPr>
      <w:r>
        <w:rPr>
          <w:rFonts w:ascii="黑体" w:hAnsi="黑体" w:eastAsia="黑体" w:cs="黑体"/>
          <w:sz w:val="28"/>
          <w:szCs w:val="28"/>
          <w:lang w:val="zh-CN"/>
        </w:rPr>
        <w:fldChar w:fldCharType="begin"/>
      </w:r>
      <w:r>
        <w:rPr>
          <w:rFonts w:ascii="黑体" w:hAnsi="黑体" w:eastAsia="黑体" w:cs="黑体"/>
          <w:sz w:val="28"/>
          <w:szCs w:val="28"/>
          <w:lang w:val="zh-CN"/>
        </w:rPr>
        <w:instrText xml:space="preserve">HYPERLINK "../Microsoft/Windows/INetCache/Content.Word/~Ex1305.doc" \l "_Toc8052#_Toc8052"</w:instrText>
      </w:r>
      <w:r>
        <w:rPr>
          <w:rFonts w:ascii="黑体" w:hAnsi="黑体" w:eastAsia="黑体" w:cs="黑体"/>
          <w:sz w:val="28"/>
          <w:szCs w:val="28"/>
          <w:lang w:val="zh-CN"/>
        </w:rPr>
        <w:fldChar w:fldCharType="separate"/>
      </w:r>
      <w:r>
        <w:rPr>
          <w:rStyle w:val="14"/>
          <w:rFonts w:hint="eastAsia" w:ascii="黑体" w:hAnsi="黑体" w:eastAsia="黑体" w:cs="黑体"/>
          <w:sz w:val="28"/>
          <w:szCs w:val="28"/>
        </w:rPr>
        <w:t>3.稳步推进耕地保护和分类管理</w:t>
      </w:r>
      <w:r>
        <w:rPr>
          <w:rStyle w:val="14"/>
          <w:rFonts w:hint="eastAsia" w:ascii="黑体" w:hAnsi="黑体" w:eastAsia="黑体" w:cs="黑体"/>
          <w:sz w:val="28"/>
          <w:szCs w:val="28"/>
        </w:rPr>
        <w:tab/>
      </w:r>
      <w:r>
        <w:rPr>
          <w:rStyle w:val="14"/>
          <w:rFonts w:hint="eastAsia" w:ascii="黑体" w:hAnsi="黑体" w:eastAsia="黑体" w:cs="黑体"/>
          <w:sz w:val="28"/>
          <w:szCs w:val="28"/>
        </w:rPr>
        <w:fldChar w:fldCharType="begin"/>
      </w:r>
      <w:r>
        <w:rPr>
          <w:rStyle w:val="14"/>
          <w:rFonts w:hint="eastAsia" w:ascii="黑体" w:hAnsi="黑体" w:eastAsia="黑体" w:cs="黑体"/>
          <w:sz w:val="28"/>
          <w:szCs w:val="28"/>
        </w:rPr>
        <w:instrText xml:space="preserve"> PAGEREF _Toc8052 \h </w:instrText>
      </w:r>
      <w:r>
        <w:rPr>
          <w:rStyle w:val="14"/>
          <w:rFonts w:ascii="黑体" w:hAnsi="黑体" w:eastAsia="黑体" w:cs="黑体"/>
          <w:sz w:val="28"/>
          <w:szCs w:val="28"/>
        </w:rPr>
        <w:fldChar w:fldCharType="separate"/>
      </w:r>
      <w:r>
        <w:rPr>
          <w:rStyle w:val="14"/>
          <w:rFonts w:hint="eastAsia" w:ascii="黑体" w:hAnsi="黑体" w:eastAsia="黑体" w:cs="黑体"/>
          <w:sz w:val="28"/>
          <w:szCs w:val="28"/>
        </w:rPr>
        <w:t>14</w:t>
      </w:r>
      <w:r>
        <w:rPr>
          <w:rStyle w:val="14"/>
          <w:rFonts w:hint="eastAsia" w:ascii="黑体" w:hAnsi="黑体" w:eastAsia="黑体" w:cs="黑体"/>
          <w:sz w:val="28"/>
          <w:szCs w:val="28"/>
        </w:rPr>
        <w:fldChar w:fldCharType="end"/>
      </w:r>
      <w:r>
        <w:rPr>
          <w:rFonts w:ascii="黑体" w:hAnsi="黑体" w:eastAsia="黑体" w:cs="黑体"/>
          <w:sz w:val="28"/>
          <w:szCs w:val="28"/>
          <w:lang w:val="zh-CN"/>
        </w:rPr>
        <w:fldChar w:fldCharType="end"/>
      </w:r>
    </w:p>
    <w:p>
      <w:pPr>
        <w:pStyle w:val="8"/>
        <w:tabs>
          <w:tab w:val="right" w:leader="dot" w:pos="9070"/>
          <w:tab w:val="clear" w:pos="8296"/>
        </w:tabs>
        <w:spacing w:line="500" w:lineRule="exact"/>
        <w:rPr>
          <w:rFonts w:hint="eastAsia" w:ascii="黑体" w:hAnsi="黑体" w:eastAsia="黑体" w:cs="黑体"/>
          <w:sz w:val="28"/>
          <w:szCs w:val="28"/>
        </w:rPr>
      </w:pPr>
      <w:r>
        <w:rPr>
          <w:rFonts w:ascii="黑体" w:hAnsi="黑体" w:eastAsia="黑体" w:cs="黑体"/>
          <w:sz w:val="28"/>
          <w:szCs w:val="28"/>
          <w:lang w:val="zh-CN"/>
        </w:rPr>
        <w:fldChar w:fldCharType="begin"/>
      </w:r>
      <w:r>
        <w:rPr>
          <w:rFonts w:ascii="黑体" w:hAnsi="黑体" w:eastAsia="黑体" w:cs="黑体"/>
          <w:sz w:val="28"/>
          <w:szCs w:val="28"/>
          <w:lang w:val="zh-CN"/>
        </w:rPr>
        <w:instrText xml:space="preserve">HYPERLINK "../Microsoft/Windows/INetCache/Content.Word/~Ex1305.doc" \l "_Toc4773#_Toc4773"</w:instrText>
      </w:r>
      <w:r>
        <w:rPr>
          <w:rFonts w:ascii="黑体" w:hAnsi="黑体" w:eastAsia="黑体" w:cs="黑体"/>
          <w:sz w:val="28"/>
          <w:szCs w:val="28"/>
          <w:lang w:val="zh-CN"/>
        </w:rPr>
        <w:fldChar w:fldCharType="separate"/>
      </w:r>
      <w:r>
        <w:rPr>
          <w:rStyle w:val="14"/>
          <w:rFonts w:hint="eastAsia" w:ascii="黑体" w:hAnsi="黑体" w:eastAsia="黑体" w:cs="黑体"/>
          <w:sz w:val="28"/>
          <w:szCs w:val="28"/>
        </w:rPr>
        <w:t>4.逐步完善建设用地准入管理</w:t>
      </w:r>
      <w:r>
        <w:rPr>
          <w:rStyle w:val="14"/>
          <w:rFonts w:hint="eastAsia" w:ascii="黑体" w:hAnsi="黑体" w:eastAsia="黑体" w:cs="黑体"/>
          <w:sz w:val="28"/>
          <w:szCs w:val="28"/>
        </w:rPr>
        <w:tab/>
      </w:r>
      <w:r>
        <w:rPr>
          <w:rStyle w:val="14"/>
          <w:rFonts w:hint="eastAsia" w:ascii="黑体" w:hAnsi="黑体" w:eastAsia="黑体" w:cs="黑体"/>
          <w:sz w:val="28"/>
          <w:szCs w:val="28"/>
        </w:rPr>
        <w:fldChar w:fldCharType="begin"/>
      </w:r>
      <w:r>
        <w:rPr>
          <w:rStyle w:val="14"/>
          <w:rFonts w:hint="eastAsia" w:ascii="黑体" w:hAnsi="黑体" w:eastAsia="黑体" w:cs="黑体"/>
          <w:sz w:val="28"/>
          <w:szCs w:val="28"/>
        </w:rPr>
        <w:instrText xml:space="preserve"> PAGEREF _Toc4773 \h </w:instrText>
      </w:r>
      <w:r>
        <w:rPr>
          <w:rStyle w:val="14"/>
          <w:rFonts w:ascii="黑体" w:hAnsi="黑体" w:eastAsia="黑体" w:cs="黑体"/>
          <w:sz w:val="28"/>
          <w:szCs w:val="28"/>
        </w:rPr>
        <w:fldChar w:fldCharType="separate"/>
      </w:r>
      <w:r>
        <w:rPr>
          <w:rStyle w:val="14"/>
          <w:rFonts w:hint="eastAsia" w:ascii="黑体" w:hAnsi="黑体" w:eastAsia="黑体" w:cs="黑体"/>
          <w:sz w:val="28"/>
          <w:szCs w:val="28"/>
        </w:rPr>
        <w:t>16</w:t>
      </w:r>
      <w:r>
        <w:rPr>
          <w:rStyle w:val="14"/>
          <w:rFonts w:hint="eastAsia" w:ascii="黑体" w:hAnsi="黑体" w:eastAsia="黑体" w:cs="黑体"/>
          <w:sz w:val="28"/>
          <w:szCs w:val="28"/>
        </w:rPr>
        <w:fldChar w:fldCharType="end"/>
      </w:r>
      <w:r>
        <w:rPr>
          <w:rFonts w:ascii="黑体" w:hAnsi="黑体" w:eastAsia="黑体" w:cs="黑体"/>
          <w:sz w:val="28"/>
          <w:szCs w:val="28"/>
          <w:lang w:val="zh-CN"/>
        </w:rPr>
        <w:fldChar w:fldCharType="end"/>
      </w:r>
    </w:p>
    <w:p>
      <w:pPr>
        <w:pStyle w:val="8"/>
        <w:tabs>
          <w:tab w:val="right" w:leader="dot" w:pos="9070"/>
          <w:tab w:val="clear" w:pos="8296"/>
        </w:tabs>
        <w:spacing w:line="500" w:lineRule="exact"/>
        <w:rPr>
          <w:rFonts w:hint="eastAsia" w:ascii="黑体" w:hAnsi="黑体" w:eastAsia="黑体" w:cs="黑体"/>
          <w:sz w:val="28"/>
          <w:szCs w:val="28"/>
        </w:rPr>
      </w:pPr>
      <w:r>
        <w:rPr>
          <w:rFonts w:ascii="黑体" w:hAnsi="黑体" w:eastAsia="黑体" w:cs="黑体"/>
          <w:sz w:val="28"/>
          <w:szCs w:val="28"/>
          <w:lang w:val="zh-CN"/>
        </w:rPr>
        <w:fldChar w:fldCharType="begin"/>
      </w:r>
      <w:r>
        <w:rPr>
          <w:rFonts w:ascii="黑体" w:hAnsi="黑体" w:eastAsia="黑体" w:cs="黑体"/>
          <w:sz w:val="28"/>
          <w:szCs w:val="28"/>
          <w:lang w:val="zh-CN"/>
        </w:rPr>
        <w:instrText xml:space="preserve">HYPERLINK "../Microsoft/Windows/INetCache/Content.Word/~Ex1305.doc" \l "_Toc31800#_Toc31800"</w:instrText>
      </w:r>
      <w:r>
        <w:rPr>
          <w:rFonts w:ascii="黑体" w:hAnsi="黑体" w:eastAsia="黑体" w:cs="黑体"/>
          <w:sz w:val="28"/>
          <w:szCs w:val="28"/>
          <w:lang w:val="zh-CN"/>
        </w:rPr>
        <w:fldChar w:fldCharType="separate"/>
      </w:r>
      <w:r>
        <w:rPr>
          <w:rStyle w:val="14"/>
          <w:rFonts w:hint="eastAsia" w:ascii="黑体" w:hAnsi="黑体" w:eastAsia="黑体" w:cs="黑体"/>
          <w:sz w:val="28"/>
          <w:szCs w:val="28"/>
        </w:rPr>
        <w:t>5.有序推进建设用地风险管控与修复</w:t>
      </w:r>
      <w:r>
        <w:rPr>
          <w:rStyle w:val="14"/>
          <w:rFonts w:hint="eastAsia" w:ascii="黑体" w:hAnsi="黑体" w:eastAsia="黑体" w:cs="黑体"/>
          <w:sz w:val="28"/>
          <w:szCs w:val="28"/>
        </w:rPr>
        <w:tab/>
      </w:r>
      <w:r>
        <w:rPr>
          <w:rStyle w:val="14"/>
          <w:rFonts w:hint="eastAsia" w:ascii="黑体" w:hAnsi="黑体" w:eastAsia="黑体" w:cs="黑体"/>
          <w:sz w:val="28"/>
          <w:szCs w:val="28"/>
        </w:rPr>
        <w:fldChar w:fldCharType="begin"/>
      </w:r>
      <w:r>
        <w:rPr>
          <w:rStyle w:val="14"/>
          <w:rFonts w:hint="eastAsia" w:ascii="黑体" w:hAnsi="黑体" w:eastAsia="黑体" w:cs="黑体"/>
          <w:sz w:val="28"/>
          <w:szCs w:val="28"/>
        </w:rPr>
        <w:instrText xml:space="preserve"> PAGEREF _Toc31800 \h </w:instrText>
      </w:r>
      <w:r>
        <w:rPr>
          <w:rStyle w:val="14"/>
          <w:rFonts w:ascii="黑体" w:hAnsi="黑体" w:eastAsia="黑体" w:cs="黑体"/>
          <w:sz w:val="28"/>
          <w:szCs w:val="28"/>
        </w:rPr>
        <w:fldChar w:fldCharType="separate"/>
      </w:r>
      <w:r>
        <w:rPr>
          <w:rStyle w:val="14"/>
          <w:rFonts w:hint="eastAsia" w:ascii="黑体" w:hAnsi="黑体" w:eastAsia="黑体" w:cs="黑体"/>
          <w:sz w:val="28"/>
          <w:szCs w:val="28"/>
        </w:rPr>
        <w:t>18</w:t>
      </w:r>
      <w:r>
        <w:rPr>
          <w:rStyle w:val="14"/>
          <w:rFonts w:hint="eastAsia" w:ascii="黑体" w:hAnsi="黑体" w:eastAsia="黑体" w:cs="黑体"/>
          <w:sz w:val="28"/>
          <w:szCs w:val="28"/>
        </w:rPr>
        <w:fldChar w:fldCharType="end"/>
      </w:r>
      <w:r>
        <w:rPr>
          <w:rFonts w:ascii="黑体" w:hAnsi="黑体" w:eastAsia="黑体" w:cs="黑体"/>
          <w:sz w:val="28"/>
          <w:szCs w:val="28"/>
          <w:lang w:val="zh-CN"/>
        </w:rPr>
        <w:fldChar w:fldCharType="end"/>
      </w:r>
    </w:p>
    <w:p>
      <w:pPr>
        <w:pStyle w:val="10"/>
        <w:tabs>
          <w:tab w:val="right" w:leader="dot" w:pos="9070"/>
        </w:tabs>
        <w:spacing w:line="500" w:lineRule="exact"/>
        <w:rPr>
          <w:rFonts w:hint="eastAsia" w:ascii="黑体" w:hAnsi="黑体" w:eastAsia="黑体" w:cs="黑体"/>
          <w:b w:val="0"/>
          <w:bCs w:val="0"/>
          <w:sz w:val="28"/>
          <w:szCs w:val="28"/>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"_Toc16316#_Toc16316"</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（二）扎实推进地下水污染防治</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_Toc16316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20</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pStyle w:val="8"/>
        <w:tabs>
          <w:tab w:val="right" w:leader="dot" w:pos="9070"/>
          <w:tab w:val="clear" w:pos="8296"/>
        </w:tabs>
        <w:spacing w:line="500" w:lineRule="exact"/>
        <w:rPr>
          <w:rFonts w:hint="eastAsia" w:ascii="黑体" w:hAnsi="黑体" w:eastAsia="黑体" w:cs="黑体"/>
          <w:sz w:val="28"/>
          <w:szCs w:val="28"/>
        </w:rPr>
      </w:pPr>
      <w:r>
        <w:rPr>
          <w:rFonts w:ascii="黑体" w:hAnsi="黑体" w:eastAsia="黑体" w:cs="黑体"/>
          <w:sz w:val="28"/>
          <w:szCs w:val="28"/>
          <w:lang w:val="zh-CN"/>
        </w:rPr>
        <w:fldChar w:fldCharType="begin"/>
      </w:r>
      <w:r>
        <w:rPr>
          <w:rFonts w:ascii="黑体" w:hAnsi="黑体" w:eastAsia="黑体" w:cs="黑体"/>
          <w:sz w:val="28"/>
          <w:szCs w:val="28"/>
          <w:lang w:val="zh-CN"/>
        </w:rPr>
        <w:instrText xml:space="preserve">HYPERLINK "../Microsoft/Windows/INetCache/Content.Word/~Ex1305.doc" \l "_Toc22379#_Toc22379"</w:instrText>
      </w:r>
      <w:r>
        <w:rPr>
          <w:rFonts w:ascii="黑体" w:hAnsi="黑体" w:eastAsia="黑体" w:cs="黑体"/>
          <w:sz w:val="28"/>
          <w:szCs w:val="28"/>
          <w:lang w:val="zh-CN"/>
        </w:rPr>
        <w:fldChar w:fldCharType="separate"/>
      </w:r>
      <w:r>
        <w:rPr>
          <w:rStyle w:val="14"/>
          <w:rFonts w:hint="eastAsia" w:ascii="黑体" w:hAnsi="黑体" w:eastAsia="黑体" w:cs="黑体"/>
          <w:sz w:val="28"/>
          <w:szCs w:val="28"/>
        </w:rPr>
        <w:t>1.持续推进地下水环境状况调查</w:t>
      </w:r>
      <w:r>
        <w:rPr>
          <w:rStyle w:val="14"/>
          <w:rFonts w:hint="eastAsia" w:ascii="黑体" w:hAnsi="黑体" w:eastAsia="黑体" w:cs="黑体"/>
          <w:sz w:val="28"/>
          <w:szCs w:val="28"/>
        </w:rPr>
        <w:tab/>
      </w:r>
      <w:r>
        <w:rPr>
          <w:rStyle w:val="14"/>
          <w:rFonts w:hint="eastAsia" w:ascii="黑体" w:hAnsi="黑体" w:eastAsia="黑体" w:cs="黑体"/>
          <w:sz w:val="28"/>
          <w:szCs w:val="28"/>
        </w:rPr>
        <w:fldChar w:fldCharType="begin"/>
      </w:r>
      <w:r>
        <w:rPr>
          <w:rStyle w:val="14"/>
          <w:rFonts w:hint="eastAsia" w:ascii="黑体" w:hAnsi="黑体" w:eastAsia="黑体" w:cs="黑体"/>
          <w:sz w:val="28"/>
          <w:szCs w:val="28"/>
        </w:rPr>
        <w:instrText xml:space="preserve"> PAGEREF _Toc22379 \h </w:instrText>
      </w:r>
      <w:r>
        <w:rPr>
          <w:rStyle w:val="14"/>
          <w:rFonts w:ascii="黑体" w:hAnsi="黑体" w:eastAsia="黑体" w:cs="黑体"/>
          <w:sz w:val="28"/>
          <w:szCs w:val="28"/>
        </w:rPr>
        <w:fldChar w:fldCharType="separate"/>
      </w:r>
      <w:r>
        <w:rPr>
          <w:rStyle w:val="14"/>
          <w:rFonts w:hint="eastAsia" w:ascii="黑体" w:hAnsi="黑体" w:eastAsia="黑体" w:cs="黑体"/>
          <w:sz w:val="28"/>
          <w:szCs w:val="28"/>
        </w:rPr>
        <w:t>20</w:t>
      </w:r>
      <w:r>
        <w:rPr>
          <w:rStyle w:val="14"/>
          <w:rFonts w:hint="eastAsia" w:ascii="黑体" w:hAnsi="黑体" w:eastAsia="黑体" w:cs="黑体"/>
          <w:sz w:val="28"/>
          <w:szCs w:val="28"/>
        </w:rPr>
        <w:fldChar w:fldCharType="end"/>
      </w:r>
      <w:r>
        <w:rPr>
          <w:rFonts w:ascii="黑体" w:hAnsi="黑体" w:eastAsia="黑体" w:cs="黑体"/>
          <w:sz w:val="28"/>
          <w:szCs w:val="28"/>
          <w:lang w:val="zh-CN"/>
        </w:rPr>
        <w:fldChar w:fldCharType="end"/>
      </w:r>
    </w:p>
    <w:p>
      <w:pPr>
        <w:pStyle w:val="8"/>
        <w:tabs>
          <w:tab w:val="right" w:leader="dot" w:pos="9070"/>
          <w:tab w:val="clear" w:pos="8296"/>
        </w:tabs>
        <w:spacing w:line="500" w:lineRule="exact"/>
        <w:rPr>
          <w:rFonts w:hint="eastAsia" w:ascii="黑体" w:hAnsi="黑体" w:eastAsia="黑体" w:cs="黑体"/>
          <w:sz w:val="28"/>
          <w:szCs w:val="28"/>
        </w:rPr>
      </w:pPr>
      <w:r>
        <w:rPr>
          <w:rFonts w:ascii="黑体" w:hAnsi="黑体" w:eastAsia="黑体" w:cs="黑体"/>
          <w:sz w:val="28"/>
          <w:szCs w:val="28"/>
          <w:lang w:val="zh-CN"/>
        </w:rPr>
        <w:fldChar w:fldCharType="begin"/>
      </w:r>
      <w:r>
        <w:rPr>
          <w:rFonts w:ascii="黑体" w:hAnsi="黑体" w:eastAsia="黑体" w:cs="黑体"/>
          <w:sz w:val="28"/>
          <w:szCs w:val="28"/>
          <w:lang w:val="zh-CN"/>
        </w:rPr>
        <w:instrText xml:space="preserve">HYPERLINK "../Microsoft/Windows/INetCache/Content.Word/~Ex1305.doc" \l "_Toc218#_Toc218"</w:instrText>
      </w:r>
      <w:r>
        <w:rPr>
          <w:rFonts w:ascii="黑体" w:hAnsi="黑体" w:eastAsia="黑体" w:cs="黑体"/>
          <w:sz w:val="28"/>
          <w:szCs w:val="28"/>
          <w:lang w:val="zh-CN"/>
        </w:rPr>
        <w:fldChar w:fldCharType="separate"/>
      </w:r>
      <w:r>
        <w:rPr>
          <w:rStyle w:val="14"/>
          <w:rFonts w:hint="eastAsia" w:ascii="黑体" w:hAnsi="黑体" w:eastAsia="黑体" w:cs="黑体"/>
          <w:sz w:val="28"/>
          <w:szCs w:val="28"/>
        </w:rPr>
        <w:t>2.建立地下水生态环境管理体系</w:t>
      </w:r>
      <w:r>
        <w:rPr>
          <w:rStyle w:val="14"/>
          <w:rFonts w:hint="eastAsia" w:ascii="黑体" w:hAnsi="黑体" w:eastAsia="黑体" w:cs="黑体"/>
          <w:sz w:val="28"/>
          <w:szCs w:val="28"/>
        </w:rPr>
        <w:tab/>
      </w:r>
      <w:r>
        <w:rPr>
          <w:rStyle w:val="14"/>
          <w:rFonts w:hint="eastAsia" w:ascii="黑体" w:hAnsi="黑体" w:eastAsia="黑体" w:cs="黑体"/>
          <w:sz w:val="28"/>
          <w:szCs w:val="28"/>
        </w:rPr>
        <w:fldChar w:fldCharType="begin"/>
      </w:r>
      <w:r>
        <w:rPr>
          <w:rStyle w:val="14"/>
          <w:rFonts w:hint="eastAsia" w:ascii="黑体" w:hAnsi="黑体" w:eastAsia="黑体" w:cs="黑体"/>
          <w:sz w:val="28"/>
          <w:szCs w:val="28"/>
        </w:rPr>
        <w:instrText xml:space="preserve"> PAGEREF _Toc218 \h </w:instrText>
      </w:r>
      <w:r>
        <w:rPr>
          <w:rStyle w:val="14"/>
          <w:rFonts w:ascii="黑体" w:hAnsi="黑体" w:eastAsia="黑体" w:cs="黑体"/>
          <w:sz w:val="28"/>
          <w:szCs w:val="28"/>
        </w:rPr>
        <w:fldChar w:fldCharType="separate"/>
      </w:r>
      <w:r>
        <w:rPr>
          <w:rStyle w:val="14"/>
          <w:rFonts w:hint="eastAsia" w:ascii="黑体" w:hAnsi="黑体" w:eastAsia="黑体" w:cs="黑体"/>
          <w:sz w:val="28"/>
          <w:szCs w:val="28"/>
        </w:rPr>
        <w:t>20</w:t>
      </w:r>
      <w:r>
        <w:rPr>
          <w:rStyle w:val="14"/>
          <w:rFonts w:hint="eastAsia" w:ascii="黑体" w:hAnsi="黑体" w:eastAsia="黑体" w:cs="黑体"/>
          <w:sz w:val="28"/>
          <w:szCs w:val="28"/>
        </w:rPr>
        <w:fldChar w:fldCharType="end"/>
      </w:r>
      <w:r>
        <w:rPr>
          <w:rFonts w:ascii="黑体" w:hAnsi="黑体" w:eastAsia="黑体" w:cs="黑体"/>
          <w:sz w:val="28"/>
          <w:szCs w:val="28"/>
          <w:lang w:val="zh-CN"/>
        </w:rPr>
        <w:fldChar w:fldCharType="end"/>
      </w:r>
    </w:p>
    <w:p>
      <w:pPr>
        <w:pStyle w:val="8"/>
        <w:tabs>
          <w:tab w:val="right" w:leader="dot" w:pos="9070"/>
          <w:tab w:val="clear" w:pos="8296"/>
        </w:tabs>
        <w:spacing w:line="500" w:lineRule="exact"/>
        <w:rPr>
          <w:rFonts w:hint="eastAsia" w:ascii="黑体" w:hAnsi="黑体" w:eastAsia="黑体" w:cs="黑体"/>
          <w:sz w:val="28"/>
          <w:szCs w:val="28"/>
        </w:rPr>
      </w:pPr>
      <w:r>
        <w:rPr>
          <w:rFonts w:ascii="黑体" w:hAnsi="黑体" w:eastAsia="黑体" w:cs="黑体"/>
          <w:sz w:val="28"/>
          <w:szCs w:val="28"/>
          <w:lang w:val="zh-CN"/>
        </w:rPr>
        <w:fldChar w:fldCharType="begin"/>
      </w:r>
      <w:r>
        <w:rPr>
          <w:rFonts w:ascii="黑体" w:hAnsi="黑体" w:eastAsia="黑体" w:cs="黑体"/>
          <w:sz w:val="28"/>
          <w:szCs w:val="28"/>
          <w:lang w:val="zh-CN"/>
        </w:rPr>
        <w:instrText xml:space="preserve">HYPERLINK "../Microsoft/Windows/INetCache/Content.Word/~Ex1305.doc" \l "_Toc11657#_Toc11657"</w:instrText>
      </w:r>
      <w:r>
        <w:rPr>
          <w:rFonts w:ascii="黑体" w:hAnsi="黑体" w:eastAsia="黑体" w:cs="黑体"/>
          <w:sz w:val="28"/>
          <w:szCs w:val="28"/>
          <w:lang w:val="zh-CN"/>
        </w:rPr>
        <w:fldChar w:fldCharType="separate"/>
      </w:r>
      <w:r>
        <w:rPr>
          <w:rStyle w:val="14"/>
          <w:rFonts w:hint="eastAsia" w:ascii="黑体" w:hAnsi="黑体" w:eastAsia="黑体" w:cs="黑体"/>
          <w:sz w:val="28"/>
          <w:szCs w:val="28"/>
        </w:rPr>
        <w:t>3.加强地下水污染源头预防、风险管控与修复</w:t>
      </w:r>
      <w:r>
        <w:rPr>
          <w:rStyle w:val="14"/>
          <w:rFonts w:hint="eastAsia" w:ascii="黑体" w:hAnsi="黑体" w:eastAsia="黑体" w:cs="黑体"/>
          <w:sz w:val="28"/>
          <w:szCs w:val="28"/>
        </w:rPr>
        <w:tab/>
      </w:r>
      <w:r>
        <w:rPr>
          <w:rStyle w:val="14"/>
          <w:rFonts w:hint="eastAsia" w:ascii="黑体" w:hAnsi="黑体" w:eastAsia="黑体" w:cs="黑体"/>
          <w:sz w:val="28"/>
          <w:szCs w:val="28"/>
        </w:rPr>
        <w:fldChar w:fldCharType="begin"/>
      </w:r>
      <w:r>
        <w:rPr>
          <w:rStyle w:val="14"/>
          <w:rFonts w:hint="eastAsia" w:ascii="黑体" w:hAnsi="黑体" w:eastAsia="黑体" w:cs="黑体"/>
          <w:sz w:val="28"/>
          <w:szCs w:val="28"/>
        </w:rPr>
        <w:instrText xml:space="preserve"> PAGEREF _Toc11657 \h </w:instrText>
      </w:r>
      <w:r>
        <w:rPr>
          <w:rStyle w:val="14"/>
          <w:rFonts w:ascii="黑体" w:hAnsi="黑体" w:eastAsia="黑体" w:cs="黑体"/>
          <w:sz w:val="28"/>
          <w:szCs w:val="28"/>
        </w:rPr>
        <w:fldChar w:fldCharType="separate"/>
      </w:r>
      <w:r>
        <w:rPr>
          <w:rStyle w:val="14"/>
          <w:rFonts w:hint="eastAsia" w:ascii="黑体" w:hAnsi="黑体" w:eastAsia="黑体" w:cs="黑体"/>
          <w:sz w:val="28"/>
          <w:szCs w:val="28"/>
        </w:rPr>
        <w:t>21</w:t>
      </w:r>
      <w:r>
        <w:rPr>
          <w:rStyle w:val="14"/>
          <w:rFonts w:hint="eastAsia" w:ascii="黑体" w:hAnsi="黑体" w:eastAsia="黑体" w:cs="黑体"/>
          <w:sz w:val="28"/>
          <w:szCs w:val="28"/>
        </w:rPr>
        <w:fldChar w:fldCharType="end"/>
      </w:r>
      <w:r>
        <w:rPr>
          <w:rFonts w:ascii="黑体" w:hAnsi="黑体" w:eastAsia="黑体" w:cs="黑体"/>
          <w:sz w:val="28"/>
          <w:szCs w:val="28"/>
          <w:lang w:val="zh-CN"/>
        </w:rPr>
        <w:fldChar w:fldCharType="end"/>
      </w:r>
    </w:p>
    <w:p>
      <w:pPr>
        <w:pStyle w:val="10"/>
        <w:tabs>
          <w:tab w:val="right" w:leader="dot" w:pos="9070"/>
        </w:tabs>
        <w:spacing w:line="500" w:lineRule="exact"/>
        <w:rPr>
          <w:rFonts w:hint="eastAsia" w:ascii="黑体" w:hAnsi="黑体" w:eastAsia="黑体" w:cs="黑体"/>
          <w:b w:val="0"/>
          <w:bCs w:val="0"/>
          <w:sz w:val="28"/>
          <w:szCs w:val="28"/>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"_Toc32056#_Toc32056"</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（三）全面提升监管与支撑能力</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_Toc32056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21</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pStyle w:val="8"/>
        <w:tabs>
          <w:tab w:val="right" w:leader="dot" w:pos="9070"/>
          <w:tab w:val="clear" w:pos="8296"/>
        </w:tabs>
        <w:spacing w:line="500" w:lineRule="exact"/>
        <w:rPr>
          <w:rFonts w:hint="eastAsia" w:ascii="黑体" w:hAnsi="黑体" w:eastAsia="黑体" w:cs="黑体"/>
          <w:sz w:val="28"/>
          <w:szCs w:val="28"/>
        </w:rPr>
      </w:pPr>
      <w:r>
        <w:rPr>
          <w:rFonts w:ascii="黑体" w:hAnsi="黑体" w:eastAsia="黑体" w:cs="黑体"/>
          <w:sz w:val="28"/>
          <w:szCs w:val="28"/>
          <w:lang w:val="zh-CN"/>
        </w:rPr>
        <w:fldChar w:fldCharType="begin"/>
      </w:r>
      <w:r>
        <w:rPr>
          <w:rFonts w:ascii="黑体" w:hAnsi="黑体" w:eastAsia="黑体" w:cs="黑体"/>
          <w:sz w:val="28"/>
          <w:szCs w:val="28"/>
          <w:lang w:val="zh-CN"/>
        </w:rPr>
        <w:instrText xml:space="preserve">HYPERLINK "../Microsoft/Windows/INetCache/Content.Word/~Ex1305.doc" \l "_Toc23273#_Toc23273"</w:instrText>
      </w:r>
      <w:r>
        <w:rPr>
          <w:rFonts w:ascii="黑体" w:hAnsi="黑体" w:eastAsia="黑体" w:cs="黑体"/>
          <w:sz w:val="28"/>
          <w:szCs w:val="28"/>
          <w:lang w:val="zh-CN"/>
        </w:rPr>
        <w:fldChar w:fldCharType="separate"/>
      </w:r>
      <w:r>
        <w:rPr>
          <w:rStyle w:val="14"/>
          <w:rFonts w:hint="eastAsia" w:ascii="黑体" w:hAnsi="黑体" w:eastAsia="黑体" w:cs="黑体"/>
          <w:sz w:val="28"/>
          <w:szCs w:val="28"/>
        </w:rPr>
        <w:t>1.完善管理制度体系</w:t>
      </w:r>
      <w:r>
        <w:rPr>
          <w:rStyle w:val="14"/>
          <w:rFonts w:hint="eastAsia" w:ascii="黑体" w:hAnsi="黑体" w:eastAsia="黑体" w:cs="黑体"/>
          <w:sz w:val="28"/>
          <w:szCs w:val="28"/>
        </w:rPr>
        <w:tab/>
      </w:r>
      <w:r>
        <w:rPr>
          <w:rStyle w:val="14"/>
          <w:rFonts w:hint="eastAsia" w:ascii="黑体" w:hAnsi="黑体" w:eastAsia="黑体" w:cs="黑体"/>
          <w:sz w:val="28"/>
          <w:szCs w:val="28"/>
        </w:rPr>
        <w:fldChar w:fldCharType="begin"/>
      </w:r>
      <w:r>
        <w:rPr>
          <w:rStyle w:val="14"/>
          <w:rFonts w:hint="eastAsia" w:ascii="黑体" w:hAnsi="黑体" w:eastAsia="黑体" w:cs="黑体"/>
          <w:sz w:val="28"/>
          <w:szCs w:val="28"/>
        </w:rPr>
        <w:instrText xml:space="preserve"> PAGEREF _Toc23273 \h </w:instrText>
      </w:r>
      <w:r>
        <w:rPr>
          <w:rStyle w:val="14"/>
          <w:rFonts w:ascii="黑体" w:hAnsi="黑体" w:eastAsia="黑体" w:cs="黑体"/>
          <w:sz w:val="28"/>
          <w:szCs w:val="28"/>
        </w:rPr>
        <w:fldChar w:fldCharType="separate"/>
      </w:r>
      <w:r>
        <w:rPr>
          <w:rStyle w:val="14"/>
          <w:rFonts w:hint="eastAsia" w:ascii="黑体" w:hAnsi="黑体" w:eastAsia="黑体" w:cs="黑体"/>
          <w:sz w:val="28"/>
          <w:szCs w:val="28"/>
        </w:rPr>
        <w:t>21</w:t>
      </w:r>
      <w:r>
        <w:rPr>
          <w:rStyle w:val="14"/>
          <w:rFonts w:hint="eastAsia" w:ascii="黑体" w:hAnsi="黑体" w:eastAsia="黑体" w:cs="黑体"/>
          <w:sz w:val="28"/>
          <w:szCs w:val="28"/>
        </w:rPr>
        <w:fldChar w:fldCharType="end"/>
      </w:r>
      <w:r>
        <w:rPr>
          <w:rFonts w:ascii="黑体" w:hAnsi="黑体" w:eastAsia="黑体" w:cs="黑体"/>
          <w:sz w:val="28"/>
          <w:szCs w:val="28"/>
          <w:lang w:val="zh-CN"/>
        </w:rPr>
        <w:fldChar w:fldCharType="end"/>
      </w:r>
    </w:p>
    <w:p>
      <w:pPr>
        <w:pStyle w:val="8"/>
        <w:tabs>
          <w:tab w:val="right" w:leader="dot" w:pos="9070"/>
          <w:tab w:val="clear" w:pos="8296"/>
        </w:tabs>
        <w:spacing w:line="500" w:lineRule="exact"/>
        <w:rPr>
          <w:rFonts w:hint="eastAsia" w:ascii="黑体" w:hAnsi="黑体" w:eastAsia="黑体" w:cs="黑体"/>
          <w:sz w:val="28"/>
          <w:szCs w:val="28"/>
        </w:rPr>
      </w:pPr>
      <w:r>
        <w:rPr>
          <w:rFonts w:ascii="黑体" w:hAnsi="黑体" w:eastAsia="黑体" w:cs="黑体"/>
          <w:sz w:val="28"/>
          <w:szCs w:val="28"/>
          <w:lang w:val="zh-CN"/>
        </w:rPr>
        <w:fldChar w:fldCharType="begin"/>
      </w:r>
      <w:r>
        <w:rPr>
          <w:rFonts w:ascii="黑体" w:hAnsi="黑体" w:eastAsia="黑体" w:cs="黑体"/>
          <w:sz w:val="28"/>
          <w:szCs w:val="28"/>
          <w:lang w:val="zh-CN"/>
        </w:rPr>
        <w:instrText xml:space="preserve">HYPERLINK "../Microsoft/Windows/INetCache/Content.Word/~Ex1305.doc" \l "_Toc12744#_Toc12744"</w:instrText>
      </w:r>
      <w:r>
        <w:rPr>
          <w:rFonts w:ascii="黑体" w:hAnsi="黑体" w:eastAsia="黑体" w:cs="黑体"/>
          <w:sz w:val="28"/>
          <w:szCs w:val="28"/>
          <w:lang w:val="zh-CN"/>
        </w:rPr>
        <w:fldChar w:fldCharType="separate"/>
      </w:r>
      <w:r>
        <w:rPr>
          <w:rStyle w:val="14"/>
          <w:rFonts w:hint="eastAsia" w:ascii="黑体" w:hAnsi="黑体" w:eastAsia="黑体" w:cs="黑体"/>
          <w:sz w:val="28"/>
          <w:szCs w:val="28"/>
        </w:rPr>
        <w:t>2.优化环境监测网络</w:t>
      </w:r>
      <w:r>
        <w:rPr>
          <w:rStyle w:val="14"/>
          <w:rFonts w:hint="eastAsia" w:ascii="黑体" w:hAnsi="黑体" w:eastAsia="黑体" w:cs="黑体"/>
          <w:sz w:val="28"/>
          <w:szCs w:val="28"/>
        </w:rPr>
        <w:tab/>
      </w:r>
      <w:r>
        <w:rPr>
          <w:rStyle w:val="14"/>
          <w:rFonts w:hint="eastAsia" w:ascii="黑体" w:hAnsi="黑体" w:eastAsia="黑体" w:cs="黑体"/>
          <w:sz w:val="28"/>
          <w:szCs w:val="28"/>
        </w:rPr>
        <w:fldChar w:fldCharType="begin"/>
      </w:r>
      <w:r>
        <w:rPr>
          <w:rStyle w:val="14"/>
          <w:rFonts w:hint="eastAsia" w:ascii="黑体" w:hAnsi="黑体" w:eastAsia="黑体" w:cs="黑体"/>
          <w:sz w:val="28"/>
          <w:szCs w:val="28"/>
        </w:rPr>
        <w:instrText xml:space="preserve"> PAGEREF _Toc12744 \h </w:instrText>
      </w:r>
      <w:r>
        <w:rPr>
          <w:rStyle w:val="14"/>
          <w:rFonts w:ascii="黑体" w:hAnsi="黑体" w:eastAsia="黑体" w:cs="黑体"/>
          <w:sz w:val="28"/>
          <w:szCs w:val="28"/>
        </w:rPr>
        <w:fldChar w:fldCharType="separate"/>
      </w:r>
      <w:r>
        <w:rPr>
          <w:rStyle w:val="14"/>
          <w:rFonts w:hint="eastAsia" w:ascii="黑体" w:hAnsi="黑体" w:eastAsia="黑体" w:cs="黑体"/>
          <w:sz w:val="28"/>
          <w:szCs w:val="28"/>
        </w:rPr>
        <w:t>22</w:t>
      </w:r>
      <w:r>
        <w:rPr>
          <w:rStyle w:val="14"/>
          <w:rFonts w:hint="eastAsia" w:ascii="黑体" w:hAnsi="黑体" w:eastAsia="黑体" w:cs="黑体"/>
          <w:sz w:val="28"/>
          <w:szCs w:val="28"/>
        </w:rPr>
        <w:fldChar w:fldCharType="end"/>
      </w:r>
      <w:r>
        <w:rPr>
          <w:rFonts w:ascii="黑体" w:hAnsi="黑体" w:eastAsia="黑体" w:cs="黑体"/>
          <w:sz w:val="28"/>
          <w:szCs w:val="28"/>
          <w:lang w:val="zh-CN"/>
        </w:rPr>
        <w:fldChar w:fldCharType="end"/>
      </w:r>
    </w:p>
    <w:p>
      <w:pPr>
        <w:pStyle w:val="8"/>
        <w:tabs>
          <w:tab w:val="right" w:leader="dot" w:pos="9070"/>
          <w:tab w:val="clear" w:pos="8296"/>
        </w:tabs>
        <w:spacing w:line="500" w:lineRule="exact"/>
        <w:rPr>
          <w:rFonts w:hint="eastAsia" w:ascii="黑体" w:hAnsi="黑体" w:eastAsia="黑体" w:cs="黑体"/>
          <w:sz w:val="28"/>
          <w:szCs w:val="28"/>
        </w:rPr>
      </w:pPr>
      <w:r>
        <w:rPr>
          <w:rFonts w:ascii="黑体" w:hAnsi="黑体" w:eastAsia="黑体" w:cs="黑体"/>
          <w:sz w:val="28"/>
          <w:szCs w:val="28"/>
          <w:lang w:val="zh-CN"/>
        </w:rPr>
        <w:fldChar w:fldCharType="begin"/>
      </w:r>
      <w:r>
        <w:rPr>
          <w:rFonts w:ascii="黑体" w:hAnsi="黑体" w:eastAsia="黑体" w:cs="黑体"/>
          <w:sz w:val="28"/>
          <w:szCs w:val="28"/>
          <w:lang w:val="zh-CN"/>
        </w:rPr>
        <w:instrText xml:space="preserve">HYPERLINK "../Microsoft/Windows/INetCache/Content.Word/~Ex1305.doc" \l "_Toc6858#_Toc6858"</w:instrText>
      </w:r>
      <w:r>
        <w:rPr>
          <w:rFonts w:ascii="黑体" w:hAnsi="黑体" w:eastAsia="黑体" w:cs="黑体"/>
          <w:sz w:val="28"/>
          <w:szCs w:val="28"/>
          <w:lang w:val="zh-CN"/>
        </w:rPr>
        <w:fldChar w:fldCharType="separate"/>
      </w:r>
      <w:r>
        <w:rPr>
          <w:rStyle w:val="14"/>
          <w:rFonts w:hint="eastAsia" w:ascii="黑体" w:hAnsi="黑体" w:eastAsia="黑体" w:cs="黑体"/>
          <w:sz w:val="28"/>
          <w:szCs w:val="28"/>
        </w:rPr>
        <w:t>3.提升生态环境监管能力</w:t>
      </w:r>
      <w:r>
        <w:rPr>
          <w:rStyle w:val="14"/>
          <w:rFonts w:hint="eastAsia" w:ascii="黑体" w:hAnsi="黑体" w:eastAsia="黑体" w:cs="黑体"/>
          <w:sz w:val="28"/>
          <w:szCs w:val="28"/>
        </w:rPr>
        <w:tab/>
      </w:r>
      <w:r>
        <w:rPr>
          <w:rStyle w:val="14"/>
          <w:rFonts w:hint="eastAsia" w:ascii="黑体" w:hAnsi="黑体" w:eastAsia="黑体" w:cs="黑体"/>
          <w:sz w:val="28"/>
          <w:szCs w:val="28"/>
        </w:rPr>
        <w:fldChar w:fldCharType="begin"/>
      </w:r>
      <w:r>
        <w:rPr>
          <w:rStyle w:val="14"/>
          <w:rFonts w:hint="eastAsia" w:ascii="黑体" w:hAnsi="黑体" w:eastAsia="黑体" w:cs="黑体"/>
          <w:sz w:val="28"/>
          <w:szCs w:val="28"/>
        </w:rPr>
        <w:instrText xml:space="preserve"> PAGEREF _Toc6858 \h </w:instrText>
      </w:r>
      <w:r>
        <w:rPr>
          <w:rStyle w:val="14"/>
          <w:rFonts w:ascii="黑体" w:hAnsi="黑体" w:eastAsia="黑体" w:cs="黑体"/>
          <w:sz w:val="28"/>
          <w:szCs w:val="28"/>
        </w:rPr>
        <w:fldChar w:fldCharType="separate"/>
      </w:r>
      <w:r>
        <w:rPr>
          <w:rStyle w:val="14"/>
          <w:rFonts w:hint="eastAsia" w:ascii="黑体" w:hAnsi="黑体" w:eastAsia="黑体" w:cs="黑体"/>
          <w:sz w:val="28"/>
          <w:szCs w:val="28"/>
        </w:rPr>
        <w:t>22</w:t>
      </w:r>
      <w:r>
        <w:rPr>
          <w:rStyle w:val="14"/>
          <w:rFonts w:hint="eastAsia" w:ascii="黑体" w:hAnsi="黑体" w:eastAsia="黑体" w:cs="黑体"/>
          <w:sz w:val="28"/>
          <w:szCs w:val="28"/>
        </w:rPr>
        <w:fldChar w:fldCharType="end"/>
      </w:r>
      <w:r>
        <w:rPr>
          <w:rFonts w:ascii="黑体" w:hAnsi="黑体" w:eastAsia="黑体" w:cs="黑体"/>
          <w:sz w:val="28"/>
          <w:szCs w:val="28"/>
          <w:lang w:val="zh-CN"/>
        </w:rPr>
        <w:fldChar w:fldCharType="end"/>
      </w:r>
    </w:p>
    <w:p>
      <w:pPr>
        <w:pStyle w:val="8"/>
        <w:tabs>
          <w:tab w:val="right" w:leader="dot" w:pos="9070"/>
          <w:tab w:val="clear" w:pos="8296"/>
        </w:tabs>
        <w:spacing w:line="500" w:lineRule="exact"/>
        <w:rPr>
          <w:rFonts w:hint="eastAsia" w:ascii="黑体" w:hAnsi="黑体" w:eastAsia="黑体" w:cs="黑体"/>
          <w:sz w:val="28"/>
          <w:szCs w:val="28"/>
        </w:rPr>
      </w:pPr>
      <w:r>
        <w:rPr>
          <w:rFonts w:ascii="黑体" w:hAnsi="黑体" w:eastAsia="黑体" w:cs="黑体"/>
          <w:sz w:val="28"/>
          <w:szCs w:val="28"/>
          <w:lang w:val="zh-CN"/>
        </w:rPr>
        <w:fldChar w:fldCharType="begin"/>
      </w:r>
      <w:r>
        <w:rPr>
          <w:rFonts w:ascii="黑体" w:hAnsi="黑体" w:eastAsia="黑体" w:cs="黑体"/>
          <w:sz w:val="28"/>
          <w:szCs w:val="28"/>
          <w:lang w:val="zh-CN"/>
        </w:rPr>
        <w:instrText xml:space="preserve">HYPERLINK "../Microsoft/Windows/INetCache/Content.Word/~Ex1305.doc" \l "_Toc7832#_Toc7832"</w:instrText>
      </w:r>
      <w:r>
        <w:rPr>
          <w:rFonts w:ascii="黑体" w:hAnsi="黑体" w:eastAsia="黑体" w:cs="黑体"/>
          <w:sz w:val="28"/>
          <w:szCs w:val="28"/>
          <w:lang w:val="zh-CN"/>
        </w:rPr>
        <w:fldChar w:fldCharType="separate"/>
      </w:r>
      <w:r>
        <w:rPr>
          <w:rStyle w:val="14"/>
          <w:rFonts w:hint="eastAsia" w:ascii="黑体" w:hAnsi="黑体" w:eastAsia="黑体" w:cs="黑体"/>
          <w:sz w:val="28"/>
          <w:szCs w:val="28"/>
        </w:rPr>
        <w:t>4.强化生态环境监管执法</w:t>
      </w:r>
      <w:r>
        <w:rPr>
          <w:rStyle w:val="14"/>
          <w:rFonts w:hint="eastAsia" w:ascii="黑体" w:hAnsi="黑体" w:eastAsia="黑体" w:cs="黑体"/>
          <w:sz w:val="28"/>
          <w:szCs w:val="28"/>
        </w:rPr>
        <w:tab/>
      </w:r>
      <w:r>
        <w:rPr>
          <w:rStyle w:val="14"/>
          <w:rFonts w:hint="eastAsia" w:ascii="黑体" w:hAnsi="黑体" w:eastAsia="黑体" w:cs="黑体"/>
          <w:sz w:val="28"/>
          <w:szCs w:val="28"/>
        </w:rPr>
        <w:fldChar w:fldCharType="begin"/>
      </w:r>
      <w:r>
        <w:rPr>
          <w:rStyle w:val="14"/>
          <w:rFonts w:hint="eastAsia" w:ascii="黑体" w:hAnsi="黑体" w:eastAsia="黑体" w:cs="黑体"/>
          <w:sz w:val="28"/>
          <w:szCs w:val="28"/>
        </w:rPr>
        <w:instrText xml:space="preserve"> PAGEREF _Toc7832 \h </w:instrText>
      </w:r>
      <w:r>
        <w:rPr>
          <w:rStyle w:val="14"/>
          <w:rFonts w:ascii="黑体" w:hAnsi="黑体" w:eastAsia="黑体" w:cs="黑体"/>
          <w:sz w:val="28"/>
          <w:szCs w:val="28"/>
        </w:rPr>
        <w:fldChar w:fldCharType="separate"/>
      </w:r>
      <w:r>
        <w:rPr>
          <w:rStyle w:val="14"/>
          <w:rFonts w:hint="eastAsia" w:ascii="黑体" w:hAnsi="黑体" w:eastAsia="黑体" w:cs="黑体"/>
          <w:sz w:val="28"/>
          <w:szCs w:val="28"/>
        </w:rPr>
        <w:t>23</w:t>
      </w:r>
      <w:r>
        <w:rPr>
          <w:rStyle w:val="14"/>
          <w:rFonts w:hint="eastAsia" w:ascii="黑体" w:hAnsi="黑体" w:eastAsia="黑体" w:cs="黑体"/>
          <w:sz w:val="28"/>
          <w:szCs w:val="28"/>
        </w:rPr>
        <w:fldChar w:fldCharType="end"/>
      </w:r>
      <w:r>
        <w:rPr>
          <w:rFonts w:ascii="黑体" w:hAnsi="黑体" w:eastAsia="黑体" w:cs="黑体"/>
          <w:sz w:val="28"/>
          <w:szCs w:val="28"/>
          <w:lang w:val="zh-CN"/>
        </w:rPr>
        <w:fldChar w:fldCharType="end"/>
      </w:r>
    </w:p>
    <w:p>
      <w:pPr>
        <w:pStyle w:val="8"/>
        <w:tabs>
          <w:tab w:val="right" w:leader="dot" w:pos="9070"/>
          <w:tab w:val="clear" w:pos="8296"/>
        </w:tabs>
        <w:spacing w:line="500" w:lineRule="exact"/>
        <w:rPr>
          <w:rFonts w:hint="eastAsia" w:ascii="黑体" w:hAnsi="黑体" w:eastAsia="黑体" w:cs="黑体"/>
          <w:sz w:val="28"/>
          <w:szCs w:val="28"/>
        </w:rPr>
      </w:pPr>
      <w:r>
        <w:rPr>
          <w:rFonts w:ascii="黑体" w:hAnsi="黑体" w:eastAsia="黑体" w:cs="黑体"/>
          <w:sz w:val="28"/>
          <w:szCs w:val="28"/>
          <w:lang w:val="zh-CN"/>
        </w:rPr>
        <w:fldChar w:fldCharType="begin"/>
      </w:r>
      <w:r>
        <w:rPr>
          <w:rFonts w:ascii="黑体" w:hAnsi="黑体" w:eastAsia="黑体" w:cs="黑体"/>
          <w:sz w:val="28"/>
          <w:szCs w:val="28"/>
          <w:lang w:val="zh-CN"/>
        </w:rPr>
        <w:instrText xml:space="preserve">HYPERLINK "../Microsoft/Windows/INetCache/Content.Word/~Ex1305.doc" \l "_Toc23665#_Toc23665"</w:instrText>
      </w:r>
      <w:r>
        <w:rPr>
          <w:rFonts w:ascii="黑体" w:hAnsi="黑体" w:eastAsia="黑体" w:cs="黑体"/>
          <w:sz w:val="28"/>
          <w:szCs w:val="28"/>
          <w:lang w:val="zh-CN"/>
        </w:rPr>
        <w:fldChar w:fldCharType="separate"/>
      </w:r>
      <w:r>
        <w:rPr>
          <w:rStyle w:val="14"/>
          <w:rFonts w:hint="eastAsia" w:ascii="黑体" w:hAnsi="黑体" w:eastAsia="黑体" w:cs="黑体"/>
          <w:sz w:val="28"/>
          <w:szCs w:val="28"/>
        </w:rPr>
        <w:t>5.强化污染防治科技支撑能力</w:t>
      </w:r>
      <w:r>
        <w:rPr>
          <w:rStyle w:val="14"/>
          <w:rFonts w:hint="eastAsia" w:ascii="黑体" w:hAnsi="黑体" w:eastAsia="黑体" w:cs="黑体"/>
          <w:sz w:val="28"/>
          <w:szCs w:val="28"/>
        </w:rPr>
        <w:tab/>
      </w:r>
      <w:r>
        <w:rPr>
          <w:rStyle w:val="14"/>
          <w:rFonts w:hint="eastAsia" w:ascii="黑体" w:hAnsi="黑体" w:eastAsia="黑体" w:cs="黑体"/>
          <w:sz w:val="28"/>
          <w:szCs w:val="28"/>
        </w:rPr>
        <w:fldChar w:fldCharType="begin"/>
      </w:r>
      <w:r>
        <w:rPr>
          <w:rStyle w:val="14"/>
          <w:rFonts w:hint="eastAsia" w:ascii="黑体" w:hAnsi="黑体" w:eastAsia="黑体" w:cs="黑体"/>
          <w:sz w:val="28"/>
          <w:szCs w:val="28"/>
        </w:rPr>
        <w:instrText xml:space="preserve"> PAGEREF _Toc23665 \h </w:instrText>
      </w:r>
      <w:r>
        <w:rPr>
          <w:rStyle w:val="14"/>
          <w:rFonts w:ascii="黑体" w:hAnsi="黑体" w:eastAsia="黑体" w:cs="黑体"/>
          <w:sz w:val="28"/>
          <w:szCs w:val="28"/>
        </w:rPr>
        <w:fldChar w:fldCharType="separate"/>
      </w:r>
      <w:r>
        <w:rPr>
          <w:rStyle w:val="14"/>
          <w:rFonts w:hint="eastAsia" w:ascii="黑体" w:hAnsi="黑体" w:eastAsia="黑体" w:cs="黑体"/>
          <w:sz w:val="28"/>
          <w:szCs w:val="28"/>
        </w:rPr>
        <w:t>23</w:t>
      </w:r>
      <w:r>
        <w:rPr>
          <w:rStyle w:val="14"/>
          <w:rFonts w:hint="eastAsia" w:ascii="黑体" w:hAnsi="黑体" w:eastAsia="黑体" w:cs="黑体"/>
          <w:sz w:val="28"/>
          <w:szCs w:val="28"/>
        </w:rPr>
        <w:fldChar w:fldCharType="end"/>
      </w:r>
      <w:r>
        <w:rPr>
          <w:rFonts w:ascii="黑体" w:hAnsi="黑体" w:eastAsia="黑体" w:cs="黑体"/>
          <w:sz w:val="28"/>
          <w:szCs w:val="28"/>
          <w:lang w:val="zh-CN"/>
        </w:rPr>
        <w:fldChar w:fldCharType="end"/>
      </w:r>
    </w:p>
    <w:p>
      <w:pPr>
        <w:pStyle w:val="8"/>
        <w:tabs>
          <w:tab w:val="right" w:leader="dot" w:pos="9070"/>
          <w:tab w:val="clear" w:pos="8296"/>
        </w:tabs>
        <w:spacing w:line="500" w:lineRule="exact"/>
        <w:rPr>
          <w:rFonts w:hint="eastAsia" w:ascii="黑体" w:hAnsi="黑体" w:eastAsia="黑体" w:cs="黑体"/>
          <w:sz w:val="28"/>
          <w:szCs w:val="28"/>
        </w:rPr>
      </w:pPr>
      <w:r>
        <w:rPr>
          <w:rFonts w:ascii="黑体" w:hAnsi="黑体" w:eastAsia="黑体" w:cs="黑体"/>
          <w:sz w:val="28"/>
          <w:szCs w:val="28"/>
          <w:lang w:val="zh-CN"/>
        </w:rPr>
        <w:fldChar w:fldCharType="begin"/>
      </w:r>
      <w:r>
        <w:rPr>
          <w:rFonts w:ascii="黑体" w:hAnsi="黑体" w:eastAsia="黑体" w:cs="黑体"/>
          <w:sz w:val="28"/>
          <w:szCs w:val="28"/>
          <w:lang w:val="zh-CN"/>
        </w:rPr>
        <w:instrText xml:space="preserve">HYPERLINK "../Microsoft/Windows/INetCache/Content.Word/~Ex1305.doc" \l "_Toc14017#_Toc14017"</w:instrText>
      </w:r>
      <w:r>
        <w:rPr>
          <w:rFonts w:ascii="黑体" w:hAnsi="黑体" w:eastAsia="黑体" w:cs="黑体"/>
          <w:sz w:val="28"/>
          <w:szCs w:val="28"/>
          <w:lang w:val="zh-CN"/>
        </w:rPr>
        <w:fldChar w:fldCharType="separate"/>
      </w:r>
      <w:r>
        <w:rPr>
          <w:rStyle w:val="14"/>
          <w:rFonts w:hint="eastAsia" w:ascii="黑体" w:hAnsi="黑体" w:eastAsia="黑体" w:cs="黑体"/>
          <w:sz w:val="28"/>
          <w:szCs w:val="28"/>
        </w:rPr>
        <w:t>6.规范风险管控与修复行业良性发展</w:t>
      </w:r>
      <w:r>
        <w:rPr>
          <w:rStyle w:val="14"/>
          <w:rFonts w:hint="eastAsia" w:ascii="黑体" w:hAnsi="黑体" w:eastAsia="黑体" w:cs="黑体"/>
          <w:sz w:val="28"/>
          <w:szCs w:val="28"/>
        </w:rPr>
        <w:tab/>
      </w:r>
      <w:r>
        <w:rPr>
          <w:rStyle w:val="14"/>
          <w:rFonts w:hint="eastAsia" w:ascii="黑体" w:hAnsi="黑体" w:eastAsia="黑体" w:cs="黑体"/>
          <w:sz w:val="28"/>
          <w:szCs w:val="28"/>
        </w:rPr>
        <w:fldChar w:fldCharType="begin"/>
      </w:r>
      <w:r>
        <w:rPr>
          <w:rStyle w:val="14"/>
          <w:rFonts w:hint="eastAsia" w:ascii="黑体" w:hAnsi="黑体" w:eastAsia="黑体" w:cs="黑体"/>
          <w:sz w:val="28"/>
          <w:szCs w:val="28"/>
        </w:rPr>
        <w:instrText xml:space="preserve"> PAGEREF _Toc14017 \h </w:instrText>
      </w:r>
      <w:r>
        <w:rPr>
          <w:rStyle w:val="14"/>
          <w:rFonts w:ascii="黑体" w:hAnsi="黑体" w:eastAsia="黑体" w:cs="黑体"/>
          <w:sz w:val="28"/>
          <w:szCs w:val="28"/>
        </w:rPr>
        <w:fldChar w:fldCharType="separate"/>
      </w:r>
      <w:r>
        <w:rPr>
          <w:rStyle w:val="14"/>
          <w:rFonts w:hint="eastAsia" w:ascii="黑体" w:hAnsi="黑体" w:eastAsia="黑体" w:cs="黑体"/>
          <w:sz w:val="28"/>
          <w:szCs w:val="28"/>
        </w:rPr>
        <w:t>23</w:t>
      </w:r>
      <w:r>
        <w:rPr>
          <w:rStyle w:val="14"/>
          <w:rFonts w:hint="eastAsia" w:ascii="黑体" w:hAnsi="黑体" w:eastAsia="黑体" w:cs="黑体"/>
          <w:sz w:val="28"/>
          <w:szCs w:val="28"/>
        </w:rPr>
        <w:fldChar w:fldCharType="end"/>
      </w:r>
      <w:r>
        <w:rPr>
          <w:rFonts w:ascii="黑体" w:hAnsi="黑体" w:eastAsia="黑体" w:cs="黑体"/>
          <w:sz w:val="28"/>
          <w:szCs w:val="28"/>
          <w:lang w:val="zh-CN"/>
        </w:rPr>
        <w:fldChar w:fldCharType="end"/>
      </w:r>
    </w:p>
    <w:p>
      <w:pPr>
        <w:pStyle w:val="9"/>
        <w:tabs>
          <w:tab w:val="right" w:leader="dot" w:pos="9070"/>
        </w:tabs>
        <w:spacing w:line="500" w:lineRule="exact"/>
        <w:rPr>
          <w:rFonts w:hint="eastAsia" w:ascii="黑体" w:hAnsi="黑体" w:eastAsia="黑体" w:cs="黑体"/>
          <w:b w:val="0"/>
          <w:bCs w:val="0"/>
          <w:i w:val="0"/>
          <w:iCs w:val="0"/>
          <w:szCs w:val="28"/>
        </w:rPr>
      </w:pPr>
      <w:r>
        <w:rPr>
          <w:rFonts w:ascii="黑体" w:hAnsi="黑体" w:eastAsia="黑体" w:cs="黑体"/>
          <w:b w:val="0"/>
          <w:bCs w:val="0"/>
          <w:i w:val="0"/>
          <w:iCs w:val="0"/>
          <w:szCs w:val="28"/>
          <w:lang w:val="zh-CN"/>
        </w:rPr>
        <w:fldChar w:fldCharType="begin"/>
      </w:r>
      <w:r>
        <w:rPr>
          <w:rFonts w:ascii="黑体" w:hAnsi="黑体" w:eastAsia="黑体" w:cs="黑体"/>
          <w:b w:val="0"/>
          <w:bCs w:val="0"/>
          <w:i w:val="0"/>
          <w:iCs w:val="0"/>
          <w:szCs w:val="28"/>
          <w:lang w:val="zh-CN"/>
        </w:rPr>
        <w:instrText xml:space="preserve">HYPERLINK "../Microsoft/Windows/INetCache/Content.Word/~Ex1305.doc" \l "_Toc17437#_Toc17437"</w:instrText>
      </w:r>
      <w:r>
        <w:rPr>
          <w:rFonts w:ascii="黑体" w:hAnsi="黑体" w:eastAsia="黑体" w:cs="黑体"/>
          <w:b w:val="0"/>
          <w:bCs w:val="0"/>
          <w:i w:val="0"/>
          <w:iCs w:val="0"/>
          <w:szCs w:val="28"/>
          <w:lang w:val="zh-CN"/>
        </w:rPr>
        <w:fldChar w:fldCharType="separate"/>
      </w:r>
      <w:r>
        <w:rPr>
          <w:rStyle w:val="14"/>
          <w:rFonts w:hint="eastAsia" w:ascii="黑体" w:hAnsi="黑体" w:eastAsia="黑体" w:cs="黑体"/>
          <w:b w:val="0"/>
          <w:bCs w:val="0"/>
          <w:i w:val="0"/>
          <w:iCs w:val="0"/>
          <w:szCs w:val="28"/>
        </w:rPr>
        <w:t>四、重点工程</w:t>
      </w:r>
      <w:r>
        <w:rPr>
          <w:rStyle w:val="14"/>
          <w:rFonts w:hint="eastAsia" w:ascii="黑体" w:hAnsi="黑体" w:eastAsia="黑体" w:cs="黑体"/>
          <w:b w:val="0"/>
          <w:bCs w:val="0"/>
          <w:i w:val="0"/>
          <w:iCs w:val="0"/>
          <w:szCs w:val="28"/>
        </w:rPr>
        <w:tab/>
      </w:r>
      <w:r>
        <w:rPr>
          <w:rStyle w:val="14"/>
          <w:rFonts w:hint="eastAsia" w:ascii="黑体" w:hAnsi="黑体" w:eastAsia="黑体" w:cs="黑体"/>
          <w:b w:val="0"/>
          <w:bCs w:val="0"/>
          <w:i w:val="0"/>
          <w:iCs w:val="0"/>
          <w:szCs w:val="28"/>
        </w:rPr>
        <w:fldChar w:fldCharType="begin"/>
      </w:r>
      <w:r>
        <w:rPr>
          <w:rStyle w:val="14"/>
          <w:rFonts w:hint="eastAsia" w:ascii="黑体" w:hAnsi="黑体" w:eastAsia="黑体" w:cs="黑体"/>
          <w:b w:val="0"/>
          <w:bCs w:val="0"/>
          <w:i w:val="0"/>
          <w:iCs w:val="0"/>
          <w:szCs w:val="28"/>
        </w:rPr>
        <w:instrText xml:space="preserve"> PAGEREF _Toc17437 \h </w:instrText>
      </w:r>
      <w:r>
        <w:rPr>
          <w:rStyle w:val="14"/>
          <w:rFonts w:ascii="黑体" w:hAnsi="黑体" w:eastAsia="黑体" w:cs="黑体"/>
          <w:b w:val="0"/>
          <w:bCs w:val="0"/>
          <w:i w:val="0"/>
          <w:iCs w:val="0"/>
          <w:szCs w:val="28"/>
        </w:rPr>
        <w:fldChar w:fldCharType="separate"/>
      </w:r>
      <w:r>
        <w:rPr>
          <w:rStyle w:val="14"/>
          <w:rFonts w:hint="eastAsia" w:ascii="黑体" w:hAnsi="黑体" w:eastAsia="黑体" w:cs="黑体"/>
          <w:b w:val="0"/>
          <w:bCs w:val="0"/>
          <w:i w:val="0"/>
          <w:iCs w:val="0"/>
          <w:szCs w:val="28"/>
        </w:rPr>
        <w:t>24</w:t>
      </w:r>
      <w:r>
        <w:rPr>
          <w:rStyle w:val="14"/>
          <w:rFonts w:hint="eastAsia" w:ascii="黑体" w:hAnsi="黑体" w:eastAsia="黑体" w:cs="黑体"/>
          <w:b w:val="0"/>
          <w:bCs w:val="0"/>
          <w:i w:val="0"/>
          <w:iCs w:val="0"/>
          <w:szCs w:val="28"/>
        </w:rPr>
        <w:fldChar w:fldCharType="end"/>
      </w:r>
      <w:r>
        <w:rPr>
          <w:rFonts w:ascii="黑体" w:hAnsi="黑体" w:eastAsia="黑体" w:cs="黑体"/>
          <w:b w:val="0"/>
          <w:bCs w:val="0"/>
          <w:i w:val="0"/>
          <w:iCs w:val="0"/>
          <w:szCs w:val="28"/>
          <w:lang w:val="zh-CN"/>
        </w:rPr>
        <w:fldChar w:fldCharType="end"/>
      </w:r>
    </w:p>
    <w:p>
      <w:pPr>
        <w:pStyle w:val="10"/>
        <w:tabs>
          <w:tab w:val="right" w:leader="dot" w:pos="9070"/>
        </w:tabs>
        <w:spacing w:line="500" w:lineRule="exact"/>
        <w:rPr>
          <w:rFonts w:hint="eastAsia" w:ascii="黑体" w:hAnsi="黑体" w:eastAsia="黑体" w:cs="黑体"/>
          <w:b w:val="0"/>
          <w:bCs w:val="0"/>
          <w:sz w:val="28"/>
          <w:szCs w:val="28"/>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"_Toc15122#_Toc15122"</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（一）环境调查工程</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_Toc15122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24</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pStyle w:val="10"/>
        <w:tabs>
          <w:tab w:val="right" w:leader="dot" w:pos="9070"/>
        </w:tabs>
        <w:spacing w:line="500" w:lineRule="exact"/>
        <w:rPr>
          <w:rFonts w:hint="eastAsia" w:ascii="黑体" w:hAnsi="黑体" w:eastAsia="黑体" w:cs="黑体"/>
          <w:b w:val="0"/>
          <w:bCs w:val="0"/>
          <w:sz w:val="28"/>
          <w:szCs w:val="28"/>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"_Toc23874#_Toc23874"</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（二）源头预防工程</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_Toc23874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24</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pStyle w:val="10"/>
        <w:tabs>
          <w:tab w:val="right" w:leader="dot" w:pos="9070"/>
        </w:tabs>
        <w:spacing w:line="500" w:lineRule="exact"/>
        <w:rPr>
          <w:rFonts w:hint="eastAsia" w:ascii="黑体" w:hAnsi="黑体" w:eastAsia="黑体" w:cs="黑体"/>
          <w:b w:val="0"/>
          <w:bCs w:val="0"/>
          <w:sz w:val="28"/>
          <w:szCs w:val="28"/>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"_Toc29945#_Toc29945"</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（三）风险管控和修复工程</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_Toc29945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24</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pStyle w:val="10"/>
        <w:tabs>
          <w:tab w:val="right" w:leader="dot" w:pos="9070"/>
        </w:tabs>
        <w:spacing w:line="500" w:lineRule="exact"/>
        <w:rPr>
          <w:rFonts w:hint="eastAsia" w:ascii="黑体" w:hAnsi="黑体" w:eastAsia="黑体" w:cs="黑体"/>
          <w:b w:val="0"/>
          <w:bCs w:val="0"/>
          <w:sz w:val="28"/>
          <w:szCs w:val="28"/>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"_Toc14515#_Toc14515"</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（四）污染防治试点示范工程</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_Toc14515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24</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pStyle w:val="9"/>
        <w:tabs>
          <w:tab w:val="right" w:leader="dot" w:pos="9070"/>
        </w:tabs>
        <w:spacing w:line="500" w:lineRule="exact"/>
        <w:rPr>
          <w:rFonts w:hint="eastAsia" w:ascii="黑体" w:hAnsi="黑体" w:eastAsia="黑体" w:cs="黑体"/>
          <w:b w:val="0"/>
          <w:bCs w:val="0"/>
          <w:i w:val="0"/>
          <w:iCs w:val="0"/>
          <w:szCs w:val="28"/>
        </w:rPr>
      </w:pPr>
      <w:r>
        <w:rPr>
          <w:rFonts w:ascii="黑体" w:hAnsi="黑体" w:eastAsia="黑体" w:cs="黑体"/>
          <w:b w:val="0"/>
          <w:bCs w:val="0"/>
          <w:i w:val="0"/>
          <w:iCs w:val="0"/>
          <w:szCs w:val="28"/>
          <w:lang w:val="zh-CN"/>
        </w:rPr>
        <w:fldChar w:fldCharType="begin"/>
      </w:r>
      <w:r>
        <w:rPr>
          <w:rFonts w:ascii="黑体" w:hAnsi="黑体" w:eastAsia="黑体" w:cs="黑体"/>
          <w:b w:val="0"/>
          <w:bCs w:val="0"/>
          <w:i w:val="0"/>
          <w:iCs w:val="0"/>
          <w:szCs w:val="28"/>
          <w:lang w:val="zh-CN"/>
        </w:rPr>
        <w:instrText xml:space="preserve">HYPERLINK "../Microsoft/Windows/INetCache/Content.Word/~Ex1305.doc" \l "_Toc31703#_Toc31703"</w:instrText>
      </w:r>
      <w:r>
        <w:rPr>
          <w:rFonts w:ascii="黑体" w:hAnsi="黑体" w:eastAsia="黑体" w:cs="黑体"/>
          <w:b w:val="0"/>
          <w:bCs w:val="0"/>
          <w:i w:val="0"/>
          <w:iCs w:val="0"/>
          <w:szCs w:val="28"/>
          <w:lang w:val="zh-CN"/>
        </w:rPr>
        <w:fldChar w:fldCharType="separate"/>
      </w:r>
      <w:r>
        <w:rPr>
          <w:rStyle w:val="14"/>
          <w:rFonts w:hint="eastAsia" w:ascii="黑体" w:hAnsi="黑体" w:eastAsia="黑体" w:cs="黑体"/>
          <w:b w:val="0"/>
          <w:bCs w:val="0"/>
          <w:i w:val="0"/>
          <w:iCs w:val="0"/>
          <w:szCs w:val="28"/>
        </w:rPr>
        <w:t>五、保障措施</w:t>
      </w:r>
      <w:r>
        <w:rPr>
          <w:rStyle w:val="14"/>
          <w:rFonts w:hint="eastAsia" w:ascii="黑体" w:hAnsi="黑体" w:eastAsia="黑体" w:cs="黑体"/>
          <w:b w:val="0"/>
          <w:bCs w:val="0"/>
          <w:i w:val="0"/>
          <w:iCs w:val="0"/>
          <w:szCs w:val="28"/>
        </w:rPr>
        <w:tab/>
      </w:r>
      <w:r>
        <w:rPr>
          <w:rStyle w:val="14"/>
          <w:rFonts w:hint="eastAsia" w:ascii="黑体" w:hAnsi="黑体" w:eastAsia="黑体" w:cs="黑体"/>
          <w:b w:val="0"/>
          <w:bCs w:val="0"/>
          <w:i w:val="0"/>
          <w:iCs w:val="0"/>
          <w:szCs w:val="28"/>
        </w:rPr>
        <w:fldChar w:fldCharType="begin"/>
      </w:r>
      <w:r>
        <w:rPr>
          <w:rStyle w:val="14"/>
          <w:rFonts w:hint="eastAsia" w:ascii="黑体" w:hAnsi="黑体" w:eastAsia="黑体" w:cs="黑体"/>
          <w:b w:val="0"/>
          <w:bCs w:val="0"/>
          <w:i w:val="0"/>
          <w:iCs w:val="0"/>
          <w:szCs w:val="28"/>
        </w:rPr>
        <w:instrText xml:space="preserve"> PAGEREF _Toc31703 \h </w:instrText>
      </w:r>
      <w:r>
        <w:rPr>
          <w:rStyle w:val="14"/>
          <w:rFonts w:ascii="黑体" w:hAnsi="黑体" w:eastAsia="黑体" w:cs="黑体"/>
          <w:b w:val="0"/>
          <w:bCs w:val="0"/>
          <w:i w:val="0"/>
          <w:iCs w:val="0"/>
          <w:szCs w:val="28"/>
        </w:rPr>
        <w:fldChar w:fldCharType="separate"/>
      </w:r>
      <w:r>
        <w:rPr>
          <w:rStyle w:val="14"/>
          <w:rFonts w:hint="eastAsia" w:ascii="黑体" w:hAnsi="黑体" w:eastAsia="黑体" w:cs="黑体"/>
          <w:b w:val="0"/>
          <w:bCs w:val="0"/>
          <w:i w:val="0"/>
          <w:iCs w:val="0"/>
          <w:szCs w:val="28"/>
        </w:rPr>
        <w:t>25</w:t>
      </w:r>
      <w:r>
        <w:rPr>
          <w:rStyle w:val="14"/>
          <w:rFonts w:hint="eastAsia" w:ascii="黑体" w:hAnsi="黑体" w:eastAsia="黑体" w:cs="黑体"/>
          <w:b w:val="0"/>
          <w:bCs w:val="0"/>
          <w:i w:val="0"/>
          <w:iCs w:val="0"/>
          <w:szCs w:val="28"/>
        </w:rPr>
        <w:fldChar w:fldCharType="end"/>
      </w:r>
      <w:r>
        <w:rPr>
          <w:rFonts w:ascii="黑体" w:hAnsi="黑体" w:eastAsia="黑体" w:cs="黑体"/>
          <w:b w:val="0"/>
          <w:bCs w:val="0"/>
          <w:i w:val="0"/>
          <w:iCs w:val="0"/>
          <w:szCs w:val="28"/>
          <w:lang w:val="zh-CN"/>
        </w:rPr>
        <w:fldChar w:fldCharType="end"/>
      </w:r>
    </w:p>
    <w:p>
      <w:pPr>
        <w:pStyle w:val="10"/>
        <w:tabs>
          <w:tab w:val="right" w:leader="dot" w:pos="9070"/>
        </w:tabs>
        <w:spacing w:line="500" w:lineRule="exact"/>
        <w:rPr>
          <w:rFonts w:hint="eastAsia" w:ascii="黑体" w:hAnsi="黑体" w:eastAsia="黑体" w:cs="黑体"/>
          <w:b w:val="0"/>
          <w:bCs w:val="0"/>
          <w:sz w:val="28"/>
          <w:szCs w:val="28"/>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"_Toc15011#_Toc15011"</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（一）加强组织领导</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_Toc15011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25</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pStyle w:val="10"/>
        <w:tabs>
          <w:tab w:val="right" w:leader="dot" w:pos="9070"/>
        </w:tabs>
        <w:spacing w:line="500" w:lineRule="exact"/>
        <w:rPr>
          <w:rFonts w:hint="eastAsia" w:ascii="黑体" w:hAnsi="黑体" w:eastAsia="黑体" w:cs="黑体"/>
          <w:b w:val="0"/>
          <w:bCs w:val="0"/>
          <w:sz w:val="28"/>
          <w:szCs w:val="28"/>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"_Toc3082#_Toc3082"</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（二）做好资金保障</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_Toc3082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25</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pStyle w:val="10"/>
        <w:tabs>
          <w:tab w:val="right" w:leader="dot" w:pos="9070"/>
        </w:tabs>
        <w:spacing w:line="500" w:lineRule="exact"/>
        <w:rPr>
          <w:rFonts w:hint="eastAsia" w:ascii="黑体" w:hAnsi="黑体" w:eastAsia="黑体" w:cs="黑体"/>
          <w:b w:val="0"/>
          <w:bCs w:val="0"/>
          <w:sz w:val="28"/>
          <w:szCs w:val="28"/>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"_Toc15139#_Toc15139"</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（三）严格目标考核</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_Toc15139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26</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pStyle w:val="10"/>
        <w:tabs>
          <w:tab w:val="right" w:leader="dot" w:pos="9070"/>
        </w:tabs>
        <w:spacing w:line="500" w:lineRule="exact"/>
        <w:rPr>
          <w:rFonts w:hint="eastAsia" w:ascii="黑体" w:hAnsi="黑体" w:eastAsia="黑体" w:cs="黑体"/>
          <w:b w:val="0"/>
          <w:bCs w:val="0"/>
          <w:sz w:val="28"/>
          <w:szCs w:val="28"/>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"_Toc7645#_Toc7645"</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（四）加强宣传引导</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_Toc7645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26</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pStyle w:val="10"/>
        <w:tabs>
          <w:tab w:val="right" w:leader="dot" w:pos="9070"/>
        </w:tabs>
        <w:spacing w:line="500" w:lineRule="exact"/>
        <w:rPr>
          <w:rFonts w:hint="eastAsia"/>
        </w:rPr>
      </w:pPr>
      <w:r>
        <w:rPr>
          <w:rFonts w:ascii="黑体" w:hAnsi="黑体" w:eastAsia="黑体" w:cs="黑体"/>
          <w:b w:val="0"/>
          <w:bCs w:val="0"/>
          <w:sz w:val="28"/>
          <w:szCs w:val="28"/>
          <w:lang w:val="zh-CN"/>
        </w:rPr>
        <w:fldChar w:fldCharType="begin"/>
      </w:r>
      <w:r>
        <w:rPr>
          <w:rFonts w:ascii="黑体" w:hAnsi="黑体" w:eastAsia="黑体" w:cs="黑体"/>
          <w:b w:val="0"/>
          <w:bCs w:val="0"/>
          <w:sz w:val="28"/>
          <w:szCs w:val="28"/>
          <w:lang w:val="zh-CN"/>
        </w:rPr>
        <w:instrText xml:space="preserve">HYPERLINK "../Microsoft/Windows/INetCache/Content.Word/~Ex1305.doc" \l "_Toc22477#_Toc22477"</w:instrText>
      </w:r>
      <w:r>
        <w:rPr>
          <w:rFonts w:ascii="黑体" w:hAnsi="黑体" w:eastAsia="黑体" w:cs="黑体"/>
          <w:b w:val="0"/>
          <w:bCs w:val="0"/>
          <w:sz w:val="28"/>
          <w:szCs w:val="28"/>
          <w:lang w:val="zh-CN"/>
        </w:rPr>
        <w:fldChar w:fldCharType="separate"/>
      </w:r>
      <w:r>
        <w:rPr>
          <w:rStyle w:val="14"/>
          <w:rFonts w:hint="eastAsia" w:ascii="黑体" w:hAnsi="黑体" w:eastAsia="黑体" w:cs="黑体"/>
          <w:b w:val="0"/>
          <w:bCs w:val="0"/>
          <w:sz w:val="28"/>
          <w:szCs w:val="28"/>
        </w:rPr>
        <w:t>附件 广州市“十四五”土壤与地下水污染防治规划工作分工表</w:t>
      </w:r>
      <w:r>
        <w:rPr>
          <w:rStyle w:val="14"/>
          <w:rFonts w:hint="eastAsia" w:ascii="黑体" w:hAnsi="黑体" w:eastAsia="黑体" w:cs="黑体"/>
          <w:b w:val="0"/>
          <w:bCs w:val="0"/>
          <w:sz w:val="28"/>
          <w:szCs w:val="28"/>
        </w:rPr>
        <w:tab/>
      </w:r>
      <w:r>
        <w:rPr>
          <w:rStyle w:val="14"/>
          <w:rFonts w:hint="eastAsia" w:ascii="黑体" w:hAnsi="黑体" w:eastAsia="黑体" w:cs="黑体"/>
          <w:b w:val="0"/>
          <w:bCs w:val="0"/>
          <w:sz w:val="28"/>
          <w:szCs w:val="28"/>
        </w:rPr>
        <w:fldChar w:fldCharType="begin"/>
      </w:r>
      <w:r>
        <w:rPr>
          <w:rStyle w:val="14"/>
          <w:rFonts w:hint="eastAsia" w:ascii="黑体" w:hAnsi="黑体" w:eastAsia="黑体" w:cs="黑体"/>
          <w:b w:val="0"/>
          <w:bCs w:val="0"/>
          <w:sz w:val="28"/>
          <w:szCs w:val="28"/>
        </w:rPr>
        <w:instrText xml:space="preserve"> PAGEREF _Toc22477 \h </w:instrText>
      </w:r>
      <w:r>
        <w:rPr>
          <w:rStyle w:val="14"/>
          <w:rFonts w:ascii="黑体" w:hAnsi="黑体" w:eastAsia="黑体" w:cs="黑体"/>
          <w:b w:val="0"/>
          <w:bCs w:val="0"/>
          <w:sz w:val="28"/>
          <w:szCs w:val="28"/>
        </w:rPr>
        <w:fldChar w:fldCharType="separate"/>
      </w:r>
      <w:r>
        <w:rPr>
          <w:rStyle w:val="14"/>
          <w:rFonts w:hint="eastAsia" w:ascii="黑体" w:hAnsi="黑体" w:eastAsia="黑体" w:cs="黑体"/>
          <w:b w:val="0"/>
          <w:bCs w:val="0"/>
          <w:sz w:val="28"/>
          <w:szCs w:val="28"/>
        </w:rPr>
        <w:t>27</w:t>
      </w:r>
      <w:r>
        <w:rPr>
          <w:rStyle w:val="14"/>
          <w:rFonts w:hint="eastAsia" w:ascii="黑体" w:hAnsi="黑体" w:eastAsia="黑体" w:cs="黑体"/>
          <w:b w:val="0"/>
          <w:bCs w:val="0"/>
          <w:sz w:val="28"/>
          <w:szCs w:val="28"/>
        </w:rPr>
        <w:fldChar w:fldCharType="end"/>
      </w:r>
      <w:r>
        <w:rPr>
          <w:rFonts w:ascii="黑体" w:hAnsi="黑体" w:eastAsia="黑体" w:cs="黑体"/>
          <w:b w:val="0"/>
          <w:bCs w:val="0"/>
          <w:sz w:val="28"/>
          <w:szCs w:val="28"/>
          <w:lang w:val="zh-CN"/>
        </w:rPr>
        <w:fldChar w:fldCharType="end"/>
      </w:r>
    </w:p>
    <w:p>
      <w:pPr>
        <w:adjustRightInd w:val="0"/>
        <w:snapToGrid w:val="0"/>
        <w:spacing w:line="500" w:lineRule="exact"/>
        <w:jc w:val="right"/>
        <w:rPr>
          <w:rFonts w:hint="eastAsia"/>
          <w:b/>
          <w:szCs w:val="28"/>
        </w:rPr>
      </w:pPr>
      <w:r>
        <w:rPr>
          <w:rFonts w:hint="eastAsia" w:ascii="黑体" w:hAnsi="黑体" w:eastAsia="黑体" w:cs="黑体"/>
          <w:kern w:val="0"/>
          <w:sz w:val="28"/>
          <w:szCs w:val="28"/>
          <w:lang w:val="zh-CN"/>
        </w:rPr>
        <w:fldChar w:fldCharType="end"/>
      </w:r>
      <w:r>
        <w:rPr>
          <w:rFonts w:eastAsia="仿宋"/>
          <w:i/>
          <w:kern w:val="0"/>
          <w:sz w:val="28"/>
          <w:szCs w:val="28"/>
        </w:rPr>
        <w:fldChar w:fldCharType="begin"/>
      </w:r>
      <w:r>
        <w:rPr>
          <w:rFonts w:eastAsia="仿宋"/>
          <w:i/>
          <w:kern w:val="0"/>
          <w:sz w:val="28"/>
          <w:szCs w:val="28"/>
        </w:rPr>
        <w:instrText xml:space="preserve"> TOC \o "1-3" \h \z \u </w:instrText>
      </w:r>
      <w:r>
        <w:rPr>
          <w:rFonts w:eastAsia="仿宋"/>
          <w:i/>
          <w:kern w:val="0"/>
          <w:sz w:val="28"/>
          <w:szCs w:val="28"/>
        </w:rPr>
        <w:fldChar w:fldCharType="end"/>
      </w:r>
    </w:p>
    <w:p>
      <w:pPr>
        <w:widowControl/>
        <w:jc w:val="left"/>
        <w:rPr>
          <w:b/>
          <w:szCs w:val="28"/>
        </w:rPr>
        <w:sectPr>
          <w:pgSz w:w="11906" w:h="16838"/>
          <w:pgMar w:top="2098" w:right="1247" w:bottom="1758" w:left="1588" w:header="1134" w:footer="1503" w:gutter="0"/>
          <w:cols w:space="720" w:num="1"/>
          <w:docGrid w:type="lines" w:linePitch="312" w:charSpace="0"/>
        </w:sectPr>
      </w:pPr>
    </w:p>
    <w:p>
      <w:pPr>
        <w:pStyle w:val="7"/>
        <w:widowControl w:val="0"/>
        <w:spacing w:line="590" w:lineRule="exact"/>
        <w:ind w:left="0" w:leftChars="0" w:right="69" w:rightChars="33" w:firstLine="640" w:firstLineChars="200"/>
        <w:jc w:val="both"/>
        <w:rPr>
          <w:rFonts w:ascii="Times New Roman" w:hAnsi="Times New Roman" w:cs="Times New Roman"/>
          <w:kern w:val="2"/>
          <w:szCs w:val="32"/>
        </w:rPr>
      </w:pPr>
      <w:bookmarkStart w:id="1" w:name="_Toc68197143"/>
      <w:r>
        <w:rPr>
          <w:rFonts w:hint="eastAsia" w:ascii="Times New Roman" w:hAnsi="Times New Roman" w:cs="Times New Roman"/>
          <w:kern w:val="2"/>
          <w:szCs w:val="32"/>
        </w:rPr>
        <w:t>为深入打好污染防治攻坚战，持续提升生态环境质量，统筹推进“十四五”时期土壤与地下水污染防治工作，根据《中华人民共和国土壤污染防治法》、</w:t>
      </w:r>
      <w:r>
        <w:rPr>
          <w:rFonts w:hint="eastAsia" w:ascii="Times New Roman" w:hAnsi="Times New Roman" w:cs="Times New Roman"/>
          <w:kern w:val="2"/>
          <w:szCs w:val="32"/>
          <w:lang w:eastAsia="ja-JP"/>
        </w:rPr>
        <w:t>《“十四五”土壤、地下水和农村生态环境保护规划》</w:t>
      </w:r>
      <w:r>
        <w:rPr>
          <w:rFonts w:hint="eastAsia" w:ascii="Times New Roman" w:hAnsi="Times New Roman" w:cs="Times New Roman"/>
          <w:kern w:val="2"/>
          <w:szCs w:val="32"/>
        </w:rPr>
        <w:t>、《广东省土壤与地下水污染防治“十四五”规划》、《广州市生态环境保护十四五规划》、《广州市国民经济和社会发展第十四个五年规划和</w:t>
      </w:r>
      <w:r>
        <w:rPr>
          <w:rFonts w:ascii="Times New Roman" w:hAnsi="Times New Roman" w:cs="Times New Roman"/>
          <w:kern w:val="2"/>
          <w:szCs w:val="32"/>
        </w:rPr>
        <w:t>2035</w:t>
      </w:r>
      <w:r>
        <w:rPr>
          <w:rFonts w:hint="eastAsia" w:ascii="Times New Roman" w:hAnsi="Times New Roman" w:cs="Times New Roman"/>
          <w:kern w:val="2"/>
          <w:szCs w:val="32"/>
        </w:rPr>
        <w:t>年远景目标纲要》等要求，制定本规划。</w:t>
      </w:r>
      <w:bookmarkStart w:id="2" w:name="_Toc72621541"/>
      <w:bookmarkStart w:id="3" w:name="_Toc72534734"/>
    </w:p>
    <w:p>
      <w:pPr>
        <w:widowControl/>
        <w:spacing w:line="590" w:lineRule="exact"/>
        <w:ind w:firstLine="640" w:firstLineChars="200"/>
        <w:jc w:val="left"/>
        <w:outlineLvl w:val="0"/>
        <w:rPr>
          <w:rFonts w:eastAsia="黑体"/>
          <w:kern w:val="0"/>
          <w:sz w:val="32"/>
          <w:szCs w:val="32"/>
        </w:rPr>
      </w:pPr>
      <w:bookmarkStart w:id="4" w:name="_Toc103710411"/>
      <w:bookmarkStart w:id="5" w:name="_Toc30168"/>
      <w:bookmarkStart w:id="6" w:name="_Toc28180"/>
      <w:bookmarkStart w:id="7" w:name="_Toc29309"/>
      <w:bookmarkStart w:id="8" w:name="_Toc90311694"/>
      <w:bookmarkStart w:id="9" w:name="_Toc65587483"/>
      <w:bookmarkStart w:id="10" w:name="_Toc91857578"/>
      <w:bookmarkStart w:id="11" w:name="_Toc22293"/>
      <w:bookmarkStart w:id="12" w:name="_Toc9140"/>
      <w:bookmarkStart w:id="13" w:name="_Toc76741393"/>
      <w:r>
        <w:rPr>
          <w:rFonts w:hint="eastAsia" w:eastAsia="黑体"/>
          <w:kern w:val="0"/>
          <w:sz w:val="32"/>
          <w:szCs w:val="32"/>
        </w:rPr>
        <w:t>一、背景与形势</w:t>
      </w:r>
      <w:bookmarkEnd w:id="4"/>
      <w:bookmarkEnd w:id="5"/>
      <w:bookmarkEnd w:id="6"/>
      <w:bookmarkEnd w:id="7"/>
      <w:bookmarkEnd w:id="8"/>
      <w:bookmarkEnd w:id="9"/>
      <w:bookmarkEnd w:id="10"/>
      <w:bookmarkEnd w:id="11"/>
      <w:bookmarkEnd w:id="12"/>
      <w:bookmarkEnd w:id="13"/>
    </w:p>
    <w:p>
      <w:pPr>
        <w:pStyle w:val="16"/>
        <w:spacing w:line="590" w:lineRule="exact"/>
        <w:ind w:firstLine="643" w:firstLineChars="200"/>
        <w:outlineLvl w:val="1"/>
        <w:rPr>
          <w:rFonts w:ascii="Times New Roman" w:hAnsi="Times New Roman" w:eastAsia="楷体_GB2312" w:cs="Times New Roman"/>
          <w:b/>
          <w:sz w:val="32"/>
          <w:szCs w:val="32"/>
        </w:rPr>
      </w:pPr>
      <w:bookmarkStart w:id="14" w:name="_Toc12126"/>
      <w:bookmarkStart w:id="15" w:name="_Toc12842"/>
      <w:bookmarkStart w:id="16" w:name="_Toc91857579"/>
      <w:bookmarkStart w:id="17" w:name="_Toc90311695"/>
      <w:bookmarkStart w:id="18" w:name="_Toc76741394"/>
      <w:bookmarkStart w:id="19" w:name="_Toc65587484"/>
      <w:bookmarkStart w:id="20" w:name="_Toc7399"/>
      <w:bookmarkStart w:id="21" w:name="_Toc20232"/>
      <w:bookmarkStart w:id="22" w:name="_Toc22025"/>
      <w:bookmarkStart w:id="23" w:name="_Toc103710412"/>
      <w:r>
        <w:rPr>
          <w:rFonts w:hint="eastAsia" w:ascii="Times New Roman" w:hAnsi="Times New Roman" w:eastAsia="楷体_GB2312"/>
          <w:b/>
          <w:sz w:val="32"/>
          <w:szCs w:val="32"/>
        </w:rPr>
        <w:t>（一）“十三五”工作成效</w:t>
      </w:r>
      <w:bookmarkEnd w:id="14"/>
      <w:bookmarkEnd w:id="15"/>
      <w:bookmarkEnd w:id="16"/>
      <w:bookmarkEnd w:id="17"/>
      <w:bookmarkEnd w:id="18"/>
      <w:bookmarkEnd w:id="19"/>
      <w:bookmarkEnd w:id="20"/>
      <w:bookmarkEnd w:id="21"/>
      <w:bookmarkEnd w:id="22"/>
      <w:bookmarkEnd w:id="23"/>
    </w:p>
    <w:p>
      <w:pPr>
        <w:pStyle w:val="7"/>
        <w:widowControl w:val="0"/>
        <w:spacing w:line="590" w:lineRule="exact"/>
        <w:ind w:left="0" w:leftChars="0" w:right="-107" w:rightChars="-51" w:firstLine="640" w:firstLineChars="200"/>
        <w:jc w:val="both"/>
        <w:rPr>
          <w:rFonts w:ascii="Times New Roman" w:hAnsi="Times New Roman" w:cs="Times New Roman"/>
          <w:kern w:val="2"/>
          <w:szCs w:val="32"/>
        </w:rPr>
      </w:pPr>
      <w:r>
        <w:rPr>
          <w:rFonts w:hint="eastAsia" w:ascii="Times New Roman" w:hAnsi="Times New Roman" w:cs="Times New Roman"/>
          <w:kern w:val="2"/>
          <w:szCs w:val="32"/>
        </w:rPr>
        <w:t>“十三五”期间，广州市积极践行习近平生态文明思想，全面贯彻党中央、国务院关于土壤和地下水生态环境保护部署要求，统筹推进土壤与地下水污染防治工作，圆满完成国家和省下达的各项指标任务，全市土壤与地下水污染防治取得明显成效。</w:t>
      </w:r>
    </w:p>
    <w:p>
      <w:pPr>
        <w:widowControl/>
        <w:spacing w:line="590" w:lineRule="exact"/>
        <w:ind w:firstLine="643" w:firstLineChars="200"/>
        <w:rPr>
          <w:rFonts w:eastAsia="仿宋_GB2312"/>
          <w:kern w:val="0"/>
          <w:sz w:val="32"/>
          <w:szCs w:val="32"/>
        </w:rPr>
      </w:pPr>
      <w:r>
        <w:rPr>
          <w:rFonts w:hint="eastAsia" w:eastAsia="仿宋_GB2312"/>
          <w:b/>
          <w:bCs/>
          <w:kern w:val="0"/>
          <w:sz w:val="32"/>
          <w:szCs w:val="32"/>
        </w:rPr>
        <w:t>一是</w:t>
      </w:r>
      <w:r>
        <w:rPr>
          <w:rFonts w:hint="eastAsia" w:eastAsia="仿宋_GB2312"/>
          <w:b/>
          <w:kern w:val="0"/>
          <w:sz w:val="32"/>
          <w:szCs w:val="32"/>
        </w:rPr>
        <w:t>土壤污染状况初步摸清。</w:t>
      </w:r>
      <w:r>
        <w:rPr>
          <w:rFonts w:hint="eastAsia" w:eastAsia="仿宋_GB2312"/>
          <w:kern w:val="0"/>
          <w:sz w:val="32"/>
          <w:szCs w:val="32"/>
        </w:rPr>
        <w:t>按时保质完成全市农用地土壤污染状况详查和重点行业企业用地土壤污染状况调查。落实国家、省部署农产品产地土壤环境国控、省控例行监测任务。</w:t>
      </w:r>
    </w:p>
    <w:p>
      <w:pPr>
        <w:widowControl/>
        <w:spacing w:line="590" w:lineRule="exact"/>
        <w:ind w:firstLine="643" w:firstLineChars="200"/>
        <w:rPr>
          <w:rFonts w:eastAsia="仿宋_GB2312"/>
          <w:kern w:val="0"/>
          <w:sz w:val="32"/>
          <w:szCs w:val="20"/>
          <w:lang w:val="en"/>
        </w:rPr>
      </w:pPr>
      <w:r>
        <w:rPr>
          <w:rFonts w:hint="eastAsia" w:eastAsia="仿宋_GB2312"/>
          <w:b/>
          <w:bCs/>
          <w:kern w:val="0"/>
          <w:sz w:val="32"/>
          <w:szCs w:val="32"/>
        </w:rPr>
        <w:t>二是</w:t>
      </w:r>
      <w:r>
        <w:rPr>
          <w:rFonts w:hint="eastAsia" w:eastAsia="仿宋_GB2312"/>
          <w:b/>
          <w:kern w:val="0"/>
          <w:sz w:val="32"/>
          <w:szCs w:val="32"/>
        </w:rPr>
        <w:t>污染源头得到基本管控。</w:t>
      </w:r>
      <w:r>
        <w:rPr>
          <w:rFonts w:hint="eastAsia" w:eastAsia="仿宋_GB2312"/>
          <w:kern w:val="0"/>
          <w:sz w:val="32"/>
          <w:szCs w:val="32"/>
        </w:rPr>
        <w:t>建立全口径涉重金属重点行业企业清单，推进实施重金属减排工程，</w:t>
      </w:r>
      <w:r>
        <w:rPr>
          <w:rFonts w:eastAsia="仿宋_GB2312"/>
          <w:kern w:val="0"/>
          <w:sz w:val="32"/>
          <w:szCs w:val="32"/>
        </w:rPr>
        <w:t>2020</w:t>
      </w:r>
      <w:r>
        <w:rPr>
          <w:rFonts w:hint="eastAsia" w:eastAsia="仿宋_GB2312"/>
          <w:kern w:val="0"/>
          <w:sz w:val="32"/>
          <w:szCs w:val="32"/>
        </w:rPr>
        <w:t>年全市重点重金属污染物排放量比</w:t>
      </w:r>
      <w:r>
        <w:rPr>
          <w:rFonts w:eastAsia="仿宋_GB2312"/>
          <w:kern w:val="0"/>
          <w:sz w:val="32"/>
          <w:szCs w:val="32"/>
        </w:rPr>
        <w:t>2013</w:t>
      </w:r>
      <w:r>
        <w:rPr>
          <w:rFonts w:hint="eastAsia" w:eastAsia="仿宋_GB2312"/>
          <w:kern w:val="0"/>
          <w:sz w:val="32"/>
          <w:szCs w:val="32"/>
        </w:rPr>
        <w:t>年下降</w:t>
      </w:r>
      <w:r>
        <w:rPr>
          <w:rFonts w:eastAsia="仿宋_GB2312"/>
          <w:kern w:val="0"/>
          <w:sz w:val="32"/>
          <w:szCs w:val="32"/>
        </w:rPr>
        <w:t>20.20%</w:t>
      </w:r>
      <w:r>
        <w:rPr>
          <w:rFonts w:hint="eastAsia" w:eastAsia="仿宋_GB2312"/>
          <w:kern w:val="0"/>
          <w:sz w:val="32"/>
          <w:szCs w:val="32"/>
        </w:rPr>
        <w:t>。有力排查整治一批涉镉等重金属重点行业企业、工业固体废物堆存场所、非正规生活垃圾堆放点。累计公布</w:t>
      </w:r>
      <w:r>
        <w:rPr>
          <w:rFonts w:eastAsia="仿宋_GB2312"/>
          <w:kern w:val="0"/>
          <w:sz w:val="32"/>
          <w:szCs w:val="32"/>
        </w:rPr>
        <w:t>43</w:t>
      </w:r>
      <w:r>
        <w:rPr>
          <w:rFonts w:hint="eastAsia" w:eastAsia="仿宋_GB2312"/>
          <w:kern w:val="0"/>
          <w:sz w:val="32"/>
          <w:szCs w:val="32"/>
        </w:rPr>
        <w:t>家土壤污染重点监管单位并督促其履行</w:t>
      </w:r>
      <w:r>
        <w:rPr>
          <w:rFonts w:hint="eastAsia" w:eastAsia="仿宋_GB2312"/>
          <w:kern w:val="0"/>
          <w:sz w:val="32"/>
          <w:szCs w:val="32"/>
          <w:lang w:val="en"/>
        </w:rPr>
        <w:t>相关法定</w:t>
      </w:r>
      <w:r>
        <w:rPr>
          <w:rFonts w:eastAsia="仿宋_GB2312"/>
          <w:kern w:val="0"/>
          <w:sz w:val="32"/>
          <w:szCs w:val="20"/>
          <w:lang w:val="en"/>
        </w:rPr>
        <w:t>义务。全市实现农药化肥使用量连续四年负增长。</w:t>
      </w:r>
    </w:p>
    <w:p>
      <w:pPr>
        <w:widowControl/>
        <w:spacing w:line="590" w:lineRule="exact"/>
        <w:ind w:firstLine="643" w:firstLineChars="200"/>
        <w:rPr>
          <w:rFonts w:eastAsia="仿宋_GB2312"/>
          <w:kern w:val="0"/>
          <w:sz w:val="32"/>
          <w:szCs w:val="32"/>
        </w:rPr>
      </w:pPr>
      <w:r>
        <w:rPr>
          <w:rFonts w:hint="eastAsia" w:eastAsia="仿宋_GB2312"/>
          <w:b/>
          <w:bCs/>
          <w:kern w:val="0"/>
          <w:sz w:val="32"/>
          <w:szCs w:val="32"/>
          <w:lang w:val="en"/>
        </w:rPr>
        <w:t>三是</w:t>
      </w:r>
      <w:r>
        <w:rPr>
          <w:rFonts w:hint="eastAsia" w:eastAsia="仿宋_GB2312"/>
          <w:b/>
          <w:kern w:val="0"/>
          <w:sz w:val="32"/>
          <w:szCs w:val="32"/>
        </w:rPr>
        <w:t>农用地分类管理成效明显。</w:t>
      </w:r>
      <w:r>
        <w:rPr>
          <w:rFonts w:hint="eastAsia" w:eastAsia="仿宋_GB2312"/>
          <w:kern w:val="0"/>
          <w:sz w:val="32"/>
          <w:szCs w:val="32"/>
        </w:rPr>
        <w:t>完成全市耕地土壤环境质量类别划定，</w:t>
      </w:r>
      <w:r>
        <w:rPr>
          <w:rFonts w:hint="eastAsia" w:eastAsia="仿宋_GB2312"/>
          <w:kern w:val="0"/>
          <w:sz w:val="32"/>
          <w:szCs w:val="32"/>
          <w:lang w:val="zh-CN"/>
        </w:rPr>
        <w:t>实施受污染耕地安全利用和严格管控，完成</w:t>
      </w:r>
      <w:r>
        <w:rPr>
          <w:rFonts w:eastAsia="仿宋_GB2312"/>
          <w:kern w:val="0"/>
          <w:sz w:val="32"/>
          <w:szCs w:val="32"/>
          <w:lang w:val="zh-CN"/>
        </w:rPr>
        <w:t>19.33</w:t>
      </w:r>
      <w:r>
        <w:rPr>
          <w:rFonts w:hint="eastAsia" w:eastAsia="仿宋_GB2312"/>
          <w:kern w:val="0"/>
          <w:sz w:val="32"/>
          <w:szCs w:val="32"/>
          <w:lang w:val="zh-CN"/>
        </w:rPr>
        <w:t>万亩耕地安全利用和</w:t>
      </w:r>
      <w:r>
        <w:rPr>
          <w:rFonts w:eastAsia="仿宋_GB2312"/>
          <w:kern w:val="0"/>
          <w:sz w:val="32"/>
          <w:szCs w:val="32"/>
          <w:lang w:val="zh-CN"/>
        </w:rPr>
        <w:t>0.40</w:t>
      </w:r>
      <w:r>
        <w:rPr>
          <w:rFonts w:hint="eastAsia" w:eastAsia="仿宋_GB2312"/>
          <w:kern w:val="0"/>
          <w:sz w:val="32"/>
          <w:szCs w:val="32"/>
          <w:lang w:val="zh-CN"/>
        </w:rPr>
        <w:t>万亩严格管控任务。</w:t>
      </w:r>
      <w:r>
        <w:rPr>
          <w:rFonts w:hint="eastAsia" w:eastAsia="仿宋_GB2312"/>
          <w:kern w:val="0"/>
          <w:sz w:val="32"/>
          <w:szCs w:val="32"/>
        </w:rPr>
        <w:t>受污染耕地安全利用率达到国家、省有关考核要求。</w:t>
      </w:r>
    </w:p>
    <w:p>
      <w:pPr>
        <w:widowControl/>
        <w:spacing w:line="590" w:lineRule="exact"/>
        <w:ind w:firstLine="643" w:firstLineChars="200"/>
        <w:rPr>
          <w:rFonts w:eastAsia="仿宋_GB2312"/>
          <w:kern w:val="0"/>
          <w:sz w:val="32"/>
          <w:szCs w:val="32"/>
        </w:rPr>
      </w:pPr>
      <w:r>
        <w:rPr>
          <w:rFonts w:hint="eastAsia" w:eastAsia="仿宋_GB2312"/>
          <w:b/>
          <w:bCs/>
          <w:kern w:val="0"/>
          <w:sz w:val="32"/>
          <w:szCs w:val="32"/>
        </w:rPr>
        <w:t>四是</w:t>
      </w:r>
      <w:r>
        <w:rPr>
          <w:rFonts w:hint="eastAsia" w:eastAsia="仿宋_GB2312"/>
          <w:b/>
          <w:kern w:val="0"/>
          <w:sz w:val="32"/>
          <w:szCs w:val="32"/>
        </w:rPr>
        <w:t>建设用地准入环境管理取得重要突破</w:t>
      </w:r>
      <w:r>
        <w:rPr>
          <w:rFonts w:hint="eastAsia" w:eastAsia="仿宋_GB2312"/>
          <w:kern w:val="0"/>
          <w:sz w:val="32"/>
          <w:szCs w:val="32"/>
        </w:rPr>
        <w:t>。严格落实建设用地土壤污染风险管控和修复名录制度，累计开展了</w:t>
      </w:r>
      <w:r>
        <w:rPr>
          <w:rFonts w:eastAsia="仿宋_GB2312"/>
          <w:kern w:val="0"/>
          <w:sz w:val="32"/>
          <w:szCs w:val="32"/>
        </w:rPr>
        <w:t>344</w:t>
      </w:r>
      <w:r>
        <w:rPr>
          <w:rFonts w:hint="eastAsia" w:eastAsia="仿宋_GB2312"/>
          <w:kern w:val="0"/>
          <w:sz w:val="32"/>
          <w:szCs w:val="32"/>
        </w:rPr>
        <w:t>个地块的土壤环境质量调查评估，积极推动</w:t>
      </w:r>
      <w:r>
        <w:rPr>
          <w:rFonts w:eastAsia="仿宋_GB2312"/>
          <w:kern w:val="0"/>
          <w:sz w:val="32"/>
          <w:szCs w:val="32"/>
        </w:rPr>
        <w:t>28</w:t>
      </w:r>
      <w:r>
        <w:rPr>
          <w:rFonts w:hint="eastAsia" w:eastAsia="仿宋_GB2312"/>
          <w:kern w:val="0"/>
          <w:sz w:val="32"/>
          <w:szCs w:val="32"/>
        </w:rPr>
        <w:t>个重点地块土壤修复工作，全市污染地块安全利用率达到国家、省考核要求。深化建设用地土壤环境管理“放管服”改革，陆续出台系列政策指引实现简政放权。在全国率先构建了“事前预警</w:t>
      </w:r>
      <w:r>
        <w:rPr>
          <w:rFonts w:eastAsia="仿宋_GB2312"/>
          <w:kern w:val="0"/>
          <w:sz w:val="32"/>
          <w:szCs w:val="32"/>
        </w:rPr>
        <w:t>+</w:t>
      </w:r>
      <w:r>
        <w:rPr>
          <w:rFonts w:hint="eastAsia" w:eastAsia="仿宋_GB2312"/>
          <w:kern w:val="0"/>
          <w:sz w:val="32"/>
          <w:szCs w:val="32"/>
        </w:rPr>
        <w:t>事中监管</w:t>
      </w:r>
      <w:r>
        <w:rPr>
          <w:rFonts w:eastAsia="仿宋_GB2312"/>
          <w:kern w:val="0"/>
          <w:sz w:val="32"/>
          <w:szCs w:val="32"/>
        </w:rPr>
        <w:t>+</w:t>
      </w:r>
      <w:r>
        <w:rPr>
          <w:rFonts w:hint="eastAsia" w:eastAsia="仿宋_GB2312"/>
          <w:kern w:val="0"/>
          <w:sz w:val="32"/>
          <w:szCs w:val="32"/>
        </w:rPr>
        <w:t>事后保障</w:t>
      </w:r>
      <w:r>
        <w:rPr>
          <w:rFonts w:eastAsia="仿宋_GB2312"/>
          <w:kern w:val="0"/>
          <w:sz w:val="32"/>
          <w:szCs w:val="32"/>
        </w:rPr>
        <w:t>+</w:t>
      </w:r>
      <w:r>
        <w:rPr>
          <w:rFonts w:hint="eastAsia" w:eastAsia="仿宋_GB2312"/>
          <w:kern w:val="0"/>
          <w:sz w:val="32"/>
          <w:szCs w:val="32"/>
        </w:rPr>
        <w:t>质量管控”的建设用地再开发安全利用全过程环境管理制度体系，实施建设用地“净土开发”模式，在保障污染地块安全利用的同时，加快储备用地出让和再开发的进度，助力我市社会经济高质量发展。</w:t>
      </w:r>
    </w:p>
    <w:p>
      <w:pPr>
        <w:pStyle w:val="11"/>
        <w:spacing w:line="590" w:lineRule="exact"/>
        <w:ind w:left="0" w:leftChars="0" w:firstLine="643"/>
        <w:rPr>
          <w:rFonts w:eastAsia="仿宋_GB2312"/>
          <w:sz w:val="32"/>
          <w:szCs w:val="32"/>
        </w:rPr>
      </w:pPr>
      <w:bookmarkStart w:id="24" w:name="_Toc26775"/>
      <w:bookmarkStart w:id="25" w:name="_Toc3932"/>
      <w:bookmarkStart w:id="26" w:name="_Toc71731563"/>
      <w:bookmarkStart w:id="27" w:name="_Toc72743461"/>
      <w:r>
        <w:rPr>
          <w:rFonts w:hint="eastAsia" w:eastAsia="仿宋_GB2312"/>
          <w:b/>
          <w:bCs/>
          <w:sz w:val="32"/>
          <w:szCs w:val="32"/>
        </w:rPr>
        <w:t>五是地下水污染防治</w:t>
      </w:r>
      <w:bookmarkEnd w:id="24"/>
      <w:bookmarkEnd w:id="25"/>
      <w:bookmarkEnd w:id="26"/>
      <w:bookmarkEnd w:id="27"/>
      <w:r>
        <w:rPr>
          <w:rFonts w:hint="eastAsia" w:eastAsia="仿宋_GB2312"/>
          <w:b/>
          <w:bCs/>
          <w:sz w:val="32"/>
          <w:szCs w:val="32"/>
        </w:rPr>
        <w:t>稳步推进。</w:t>
      </w:r>
      <w:r>
        <w:rPr>
          <w:rFonts w:hint="eastAsia" w:eastAsia="仿宋_GB2312"/>
          <w:bCs/>
          <w:sz w:val="32"/>
          <w:szCs w:val="32"/>
        </w:rPr>
        <w:t>初步建立地下水“双源”清单，已完成</w:t>
      </w:r>
      <w:r>
        <w:rPr>
          <w:rFonts w:eastAsia="仿宋_GB2312"/>
          <w:bCs/>
          <w:sz w:val="32"/>
          <w:szCs w:val="32"/>
        </w:rPr>
        <w:t>42</w:t>
      </w:r>
      <w:r>
        <w:rPr>
          <w:rFonts w:hint="eastAsia" w:eastAsia="仿宋_GB2312"/>
          <w:bCs/>
          <w:sz w:val="32"/>
          <w:szCs w:val="32"/>
        </w:rPr>
        <w:t>家垃圾填埋场和危险废物处置场的调查。完成</w:t>
      </w:r>
      <w:r>
        <w:rPr>
          <w:rFonts w:eastAsia="仿宋_GB2312"/>
          <w:bCs/>
          <w:sz w:val="32"/>
          <w:szCs w:val="32"/>
        </w:rPr>
        <w:t>526</w:t>
      </w:r>
      <w:r>
        <w:rPr>
          <w:rFonts w:hint="eastAsia" w:eastAsia="仿宋_GB2312"/>
          <w:bCs/>
          <w:sz w:val="32"/>
          <w:szCs w:val="32"/>
        </w:rPr>
        <w:t>个加油站（含</w:t>
      </w:r>
      <w:r>
        <w:rPr>
          <w:rFonts w:eastAsia="仿宋_GB2312"/>
          <w:bCs/>
          <w:sz w:val="32"/>
          <w:szCs w:val="32"/>
        </w:rPr>
        <w:t>2107</w:t>
      </w:r>
      <w:r>
        <w:rPr>
          <w:rFonts w:hint="eastAsia" w:eastAsia="仿宋_GB2312"/>
          <w:bCs/>
          <w:sz w:val="32"/>
          <w:szCs w:val="32"/>
        </w:rPr>
        <w:t>个地下油罐）防渗改造，完成</w:t>
      </w:r>
      <w:r>
        <w:rPr>
          <w:rFonts w:eastAsia="仿宋_GB2312"/>
          <w:bCs/>
          <w:sz w:val="32"/>
          <w:szCs w:val="32"/>
        </w:rPr>
        <w:t>50</w:t>
      </w:r>
      <w:r>
        <w:rPr>
          <w:rFonts w:hint="eastAsia" w:eastAsia="仿宋_GB2312"/>
          <w:bCs/>
          <w:sz w:val="32"/>
          <w:szCs w:val="32"/>
        </w:rPr>
        <w:t>口废弃井封井回填工作，地下水污染源风险防控得到加强。地下水环境治理监测网络初步建立。</w:t>
      </w:r>
      <w:r>
        <w:rPr>
          <w:rFonts w:hint="eastAsia" w:eastAsia="仿宋_GB2312"/>
          <w:sz w:val="32"/>
          <w:szCs w:val="32"/>
        </w:rPr>
        <w:t>按照国家、省的要求，完成了</w:t>
      </w:r>
      <w:r>
        <w:rPr>
          <w:rFonts w:eastAsia="仿宋_GB2312"/>
          <w:sz w:val="32"/>
          <w:szCs w:val="32"/>
        </w:rPr>
        <w:t>9</w:t>
      </w:r>
      <w:r>
        <w:rPr>
          <w:rFonts w:hint="eastAsia" w:eastAsia="仿宋_GB2312"/>
          <w:sz w:val="32"/>
          <w:szCs w:val="32"/>
        </w:rPr>
        <w:t>个地下水监测国家考核点位的优化调整工作。作为全国地下水“双源”调查试点城市，完成</w:t>
      </w:r>
      <w:r>
        <w:rPr>
          <w:rFonts w:eastAsia="仿宋_GB2312"/>
          <w:sz w:val="32"/>
          <w:szCs w:val="32"/>
        </w:rPr>
        <w:t>4</w:t>
      </w:r>
      <w:r>
        <w:rPr>
          <w:rFonts w:hint="eastAsia" w:eastAsia="仿宋_GB2312"/>
          <w:sz w:val="32"/>
          <w:szCs w:val="32"/>
        </w:rPr>
        <w:t>家垃圾填埋场和危险废物处置场企业</w:t>
      </w:r>
      <w:r>
        <w:rPr>
          <w:rFonts w:eastAsia="仿宋_GB2312"/>
          <w:sz w:val="32"/>
          <w:szCs w:val="32"/>
        </w:rPr>
        <w:t>16</w:t>
      </w:r>
      <w:r>
        <w:rPr>
          <w:rFonts w:hint="eastAsia" w:eastAsia="仿宋_GB2312"/>
          <w:sz w:val="32"/>
          <w:szCs w:val="32"/>
        </w:rPr>
        <w:t>口地下水井的试点监测任务。全市地下水环境质量总体稳定，达到国家“十三五”水质目标。</w:t>
      </w:r>
    </w:p>
    <w:p>
      <w:pPr>
        <w:widowControl/>
        <w:spacing w:line="590" w:lineRule="exact"/>
        <w:ind w:firstLine="643" w:firstLineChars="200"/>
        <w:rPr>
          <w:rFonts w:eastAsia="仿宋_GB2312"/>
          <w:kern w:val="0"/>
          <w:sz w:val="32"/>
          <w:szCs w:val="32"/>
        </w:rPr>
      </w:pPr>
      <w:r>
        <w:rPr>
          <w:rFonts w:hint="eastAsia" w:eastAsia="仿宋_GB2312"/>
          <w:b/>
          <w:bCs/>
          <w:kern w:val="0"/>
          <w:sz w:val="32"/>
          <w:szCs w:val="32"/>
        </w:rPr>
        <w:t>六是污染防治能力不断增强。</w:t>
      </w:r>
      <w:r>
        <w:rPr>
          <w:rFonts w:hint="eastAsia" w:eastAsia="仿宋_GB2312"/>
          <w:kern w:val="0"/>
          <w:sz w:val="32"/>
          <w:szCs w:val="32"/>
        </w:rPr>
        <w:t>积极摸索研究适合广州市的土壤监测技术体系，印发《城市建成区土壤环境监测技术规范》（</w:t>
      </w:r>
      <w:r>
        <w:rPr>
          <w:rFonts w:eastAsia="仿宋_GB2312"/>
          <w:kern w:val="0"/>
          <w:sz w:val="32"/>
          <w:szCs w:val="32"/>
        </w:rPr>
        <w:t>DB4401/T 103-2020</w:t>
      </w:r>
      <w:r>
        <w:rPr>
          <w:rFonts w:hint="eastAsia" w:eastAsia="仿宋_GB2312"/>
          <w:kern w:val="0"/>
          <w:sz w:val="32"/>
          <w:szCs w:val="32"/>
        </w:rPr>
        <w:t>），填补了我国城市建成区土壤环境监测技术体系的空白。土壤和地下水环境质量监测网络基本建立。各区监测站基本配备土壤和地下水检测仪器，具备重金属等项目检测能力。土壤和地下水污染防治环境信息公开不断完善，各区积极开展土壤污染防治法及相关污染防治政策宣传工作。深入开展农用地安全利用和建设用地治理修复试点工作，取得良好成效。</w:t>
      </w:r>
    </w:p>
    <w:p>
      <w:pPr>
        <w:pStyle w:val="3"/>
        <w:widowControl w:val="0"/>
        <w:numPr>
          <w:ilvl w:val="0"/>
          <w:numId w:val="1"/>
        </w:numPr>
        <w:spacing w:before="0" w:after="0" w:line="590" w:lineRule="exact"/>
        <w:ind w:left="0" w:firstLine="643" w:firstLineChars="200"/>
        <w:jc w:val="both"/>
        <w:rPr>
          <w:rFonts w:ascii="Times New Roman" w:hAnsi="Times New Roman" w:eastAsia="楷体_GB2312" w:cs="Times New Roman"/>
          <w:sz w:val="32"/>
        </w:rPr>
      </w:pPr>
      <w:bookmarkStart w:id="28" w:name="_Toc12044"/>
      <w:bookmarkStart w:id="29" w:name="_Toc554"/>
      <w:bookmarkStart w:id="30" w:name="_Toc12262"/>
      <w:bookmarkStart w:id="31" w:name="_Toc72621537"/>
      <w:bookmarkStart w:id="32" w:name="_Toc103710413"/>
      <w:bookmarkStart w:id="33" w:name="_Toc76741396"/>
      <w:bookmarkStart w:id="34" w:name="_Toc91857580"/>
      <w:bookmarkStart w:id="35" w:name="_Toc72534730"/>
      <w:bookmarkStart w:id="36" w:name="_Toc90311696"/>
      <w:bookmarkStart w:id="37" w:name="_Toc21645"/>
      <w:bookmarkStart w:id="38" w:name="_Toc68197145"/>
      <w:bookmarkStart w:id="39" w:name="_Toc11744"/>
      <w:r>
        <w:rPr>
          <w:rFonts w:hint="eastAsia" w:ascii="Times New Roman" w:hAnsi="Times New Roman" w:eastAsia="楷体_GB2312"/>
          <w:sz w:val="32"/>
        </w:rPr>
        <w:t>形势研判</w:t>
      </w:r>
      <w:bookmarkEnd w:id="28"/>
      <w:bookmarkEnd w:id="29"/>
      <w:bookmarkEnd w:id="30"/>
      <w:bookmarkEnd w:id="31"/>
      <w:bookmarkEnd w:id="32"/>
      <w:bookmarkEnd w:id="33"/>
      <w:bookmarkEnd w:id="34"/>
      <w:bookmarkEnd w:id="35"/>
      <w:bookmarkEnd w:id="36"/>
      <w:bookmarkEnd w:id="37"/>
      <w:bookmarkEnd w:id="38"/>
      <w:bookmarkEnd w:id="39"/>
    </w:p>
    <w:p>
      <w:pPr>
        <w:widowControl/>
        <w:spacing w:line="590" w:lineRule="exact"/>
        <w:ind w:firstLine="640" w:firstLineChars="200"/>
        <w:rPr>
          <w:rFonts w:eastAsia="仿宋_GB2312"/>
          <w:kern w:val="0"/>
          <w:sz w:val="32"/>
          <w:szCs w:val="32"/>
        </w:rPr>
      </w:pPr>
      <w:r>
        <w:rPr>
          <w:rFonts w:hint="eastAsia" w:eastAsia="仿宋_GB2312"/>
          <w:kern w:val="0"/>
          <w:sz w:val="32"/>
          <w:szCs w:val="32"/>
        </w:rPr>
        <w:t>“十三五”期间，广州市土壤与地下水生态环境保护工作取得显著成效，</w:t>
      </w:r>
      <w:r>
        <w:rPr>
          <w:rFonts w:eastAsia="仿宋_GB2312"/>
          <w:kern w:val="0"/>
          <w:sz w:val="32"/>
          <w:szCs w:val="32"/>
        </w:rPr>
        <w:t>“</w:t>
      </w:r>
      <w:r>
        <w:rPr>
          <w:rFonts w:hint="eastAsia" w:eastAsia="仿宋_GB2312"/>
          <w:kern w:val="0"/>
          <w:sz w:val="32"/>
          <w:szCs w:val="32"/>
        </w:rPr>
        <w:t>十四五</w:t>
      </w:r>
      <w:r>
        <w:rPr>
          <w:rFonts w:eastAsia="仿宋_GB2312"/>
          <w:kern w:val="0"/>
          <w:sz w:val="32"/>
          <w:szCs w:val="32"/>
        </w:rPr>
        <w:t>”</w:t>
      </w:r>
      <w:r>
        <w:rPr>
          <w:rFonts w:hint="eastAsia" w:eastAsia="仿宋_GB2312"/>
          <w:kern w:val="0"/>
          <w:sz w:val="32"/>
          <w:szCs w:val="32"/>
        </w:rPr>
        <w:t>期间，是广州实现老城市新活力、“四个出新出彩”，巩固提升城市发展位势的关键阶段。土壤与地下水污染防治面临新的重大机遇和挑战。</w:t>
      </w:r>
    </w:p>
    <w:p>
      <w:pPr>
        <w:widowControl/>
        <w:spacing w:line="590" w:lineRule="exact"/>
        <w:ind w:firstLine="643" w:firstLineChars="200"/>
        <w:outlineLvl w:val="2"/>
        <w:rPr>
          <w:rFonts w:eastAsia="仿宋_GB2312"/>
          <w:b/>
          <w:bCs/>
          <w:kern w:val="0"/>
          <w:sz w:val="32"/>
          <w:szCs w:val="32"/>
        </w:rPr>
      </w:pPr>
      <w:bookmarkStart w:id="40" w:name="_Toc91857581"/>
      <w:bookmarkStart w:id="41" w:name="_Toc13588"/>
      <w:bookmarkStart w:id="42" w:name="_Toc103710414"/>
      <w:bookmarkStart w:id="43" w:name="_Toc29519"/>
      <w:bookmarkStart w:id="44" w:name="_Toc4973"/>
      <w:bookmarkStart w:id="45" w:name="_Toc90311697"/>
      <w:r>
        <w:rPr>
          <w:rFonts w:eastAsia="仿宋_GB2312"/>
          <w:b/>
          <w:bCs/>
          <w:kern w:val="0"/>
          <w:sz w:val="32"/>
          <w:szCs w:val="32"/>
        </w:rPr>
        <w:t>1.</w:t>
      </w:r>
      <w:r>
        <w:rPr>
          <w:rFonts w:hint="eastAsia" w:eastAsia="仿宋_GB2312"/>
          <w:b/>
          <w:bCs/>
          <w:kern w:val="0"/>
          <w:sz w:val="32"/>
          <w:szCs w:val="32"/>
        </w:rPr>
        <w:t>面临的机遇</w:t>
      </w:r>
      <w:bookmarkEnd w:id="40"/>
      <w:bookmarkEnd w:id="41"/>
      <w:bookmarkEnd w:id="42"/>
      <w:bookmarkEnd w:id="43"/>
      <w:bookmarkEnd w:id="44"/>
      <w:bookmarkEnd w:id="45"/>
    </w:p>
    <w:p>
      <w:pPr>
        <w:widowControl/>
        <w:spacing w:line="590" w:lineRule="exact"/>
        <w:ind w:firstLine="643" w:firstLineChars="200"/>
        <w:rPr>
          <w:rFonts w:eastAsia="仿宋_GB2312"/>
          <w:kern w:val="0"/>
          <w:sz w:val="32"/>
          <w:szCs w:val="32"/>
        </w:rPr>
      </w:pPr>
      <w:r>
        <w:rPr>
          <w:rFonts w:hint="eastAsia" w:eastAsia="仿宋_GB2312"/>
          <w:b/>
          <w:bCs/>
          <w:kern w:val="0"/>
          <w:sz w:val="32"/>
          <w:szCs w:val="32"/>
        </w:rPr>
        <w:t>一是习近平生态文明思想为污染防治攻坚战提供行动纲领。</w:t>
      </w:r>
      <w:r>
        <w:rPr>
          <w:rFonts w:hint="eastAsia" w:eastAsia="仿宋_GB2312"/>
          <w:kern w:val="0"/>
          <w:sz w:val="32"/>
          <w:szCs w:val="32"/>
        </w:rPr>
        <w:t>在习近平生态文明思想的引领下，“绿水青山就是金山银山”的理念深入人心，生态文明建设体制机制逐步健全，为土壤和地下水污染防治提供了强大动力。</w:t>
      </w:r>
    </w:p>
    <w:p>
      <w:pPr>
        <w:widowControl/>
        <w:spacing w:line="590" w:lineRule="exact"/>
        <w:ind w:firstLine="643" w:firstLineChars="200"/>
        <w:rPr>
          <w:rFonts w:eastAsia="仿宋"/>
          <w:kern w:val="0"/>
          <w:sz w:val="32"/>
          <w:szCs w:val="20"/>
        </w:rPr>
      </w:pPr>
      <w:r>
        <w:rPr>
          <w:rFonts w:hint="eastAsia" w:eastAsia="仿宋_GB2312"/>
          <w:b/>
          <w:bCs/>
          <w:kern w:val="0"/>
          <w:sz w:val="32"/>
          <w:szCs w:val="32"/>
        </w:rPr>
        <w:t>二是国家重大战略的实施和“大环保格局”的加速形成为污染防治工作带来新机遇。</w:t>
      </w:r>
      <w:r>
        <w:rPr>
          <w:rFonts w:hint="eastAsia" w:eastAsia="仿宋_GB2312"/>
          <w:kern w:val="0"/>
          <w:sz w:val="32"/>
          <w:szCs w:val="32"/>
        </w:rPr>
        <w:t>为实现“双区”建设、“双城”联动引领国际一流湾区和世界级城市群建设，推动经济绿色转型和优美生态环境的需求更加迫切。粤港澳大湾区、“一核一带一区”、广州都市圈等区域发展格局和“大环保格局”加快形成，有助于从更高站位、更大格局上协同推进我市生态环境高水平保护和经济高质量发展，进一步发挥广州国家中心城市和粤港澳大湾区核心引擎作用。</w:t>
      </w:r>
    </w:p>
    <w:p>
      <w:pPr>
        <w:pStyle w:val="11"/>
        <w:spacing w:line="590" w:lineRule="exact"/>
        <w:ind w:left="0" w:leftChars="0" w:firstLine="643"/>
        <w:rPr>
          <w:sz w:val="32"/>
        </w:rPr>
      </w:pPr>
      <w:r>
        <w:rPr>
          <w:rFonts w:hint="eastAsia" w:eastAsia="仿宋_GB2312"/>
          <w:b/>
          <w:bCs/>
          <w:sz w:val="32"/>
          <w:szCs w:val="32"/>
        </w:rPr>
        <w:t>三是“十三五”污染防治攻坚战积累的丰富实践经验，为“十四五”打下坚实基础。</w:t>
      </w:r>
      <w:r>
        <w:rPr>
          <w:rFonts w:hint="eastAsia" w:eastAsia="仿宋_GB2312"/>
          <w:sz w:val="32"/>
          <w:szCs w:val="32"/>
        </w:rPr>
        <w:t>“十三五”期间，市委、市政府积极贯彻落实党中央、国务院关于生态文明建设、土壤、地下水污染防治的有关部署安排，统筹推进各项工作，着实解决了一批突出的环境问题，生态环境工作的能力和手段明显提升，为“十四五”深入打好土壤污染防治攻坚战奠定了坚实基础。通过实施土壤污染详查、地下水污染调查，基本掌握了土壤、地下水污染状况，为精准治污、对症下药指明了方向。全市经济发展逐步向低碳型、环境友好型经济转变，污染物新增排放压力趋缓，生态环境质量改善具备良好基础。政府及各部门、企业、公众生态环境保护意识日益增强，全社会保护生态环境的合力逐步形成。</w:t>
      </w:r>
    </w:p>
    <w:p>
      <w:pPr>
        <w:widowControl/>
        <w:spacing w:line="590" w:lineRule="exact"/>
        <w:ind w:firstLine="643" w:firstLineChars="200"/>
        <w:outlineLvl w:val="2"/>
        <w:rPr>
          <w:rFonts w:eastAsia="仿宋_GB2312"/>
          <w:b/>
          <w:bCs/>
          <w:kern w:val="0"/>
          <w:sz w:val="32"/>
          <w:szCs w:val="32"/>
        </w:rPr>
      </w:pPr>
      <w:bookmarkStart w:id="46" w:name="_Toc72534732"/>
      <w:bookmarkStart w:id="47" w:name="_Toc72621539"/>
      <w:bookmarkStart w:id="48" w:name="_Toc103710415"/>
      <w:bookmarkStart w:id="49" w:name="_Toc4550"/>
      <w:bookmarkStart w:id="50" w:name="_Toc30387"/>
      <w:bookmarkStart w:id="51" w:name="_Toc26730"/>
      <w:bookmarkStart w:id="52" w:name="_Toc91857582"/>
      <w:bookmarkStart w:id="53" w:name="_Toc90311698"/>
      <w:r>
        <w:rPr>
          <w:rFonts w:eastAsia="仿宋_GB2312"/>
          <w:b/>
          <w:bCs/>
          <w:kern w:val="0"/>
          <w:sz w:val="32"/>
          <w:szCs w:val="32"/>
        </w:rPr>
        <w:t>2.</w:t>
      </w:r>
      <w:r>
        <w:rPr>
          <w:rFonts w:hint="eastAsia" w:eastAsia="仿宋_GB2312"/>
          <w:b/>
          <w:bCs/>
          <w:kern w:val="0"/>
          <w:sz w:val="32"/>
          <w:szCs w:val="32"/>
        </w:rPr>
        <w:t>面临</w:t>
      </w:r>
      <w:bookmarkEnd w:id="46"/>
      <w:bookmarkEnd w:id="47"/>
      <w:r>
        <w:rPr>
          <w:rFonts w:hint="eastAsia" w:eastAsia="仿宋_GB2312"/>
          <w:b/>
          <w:bCs/>
          <w:kern w:val="0"/>
          <w:sz w:val="32"/>
          <w:szCs w:val="32"/>
        </w:rPr>
        <w:t>的挑战</w:t>
      </w:r>
      <w:bookmarkEnd w:id="48"/>
      <w:bookmarkEnd w:id="49"/>
      <w:bookmarkEnd w:id="50"/>
      <w:bookmarkEnd w:id="51"/>
      <w:bookmarkEnd w:id="52"/>
      <w:bookmarkEnd w:id="53"/>
    </w:p>
    <w:p>
      <w:pPr>
        <w:pStyle w:val="5"/>
        <w:spacing w:line="590" w:lineRule="exact"/>
        <w:ind w:firstLine="643" w:firstLineChars="200"/>
        <w:jc w:val="both"/>
        <w:rPr>
          <w:rFonts w:eastAsia="仿宋_GB2312"/>
          <w:sz w:val="32"/>
          <w:szCs w:val="32"/>
          <w:lang w:val="zh-CN"/>
        </w:rPr>
      </w:pPr>
      <w:r>
        <w:rPr>
          <w:rFonts w:hint="eastAsia" w:eastAsia="仿宋_GB2312"/>
          <w:b/>
          <w:bCs/>
          <w:sz w:val="32"/>
          <w:szCs w:val="32"/>
        </w:rPr>
        <w:t>土壤污染防治形势依然严峻。一是</w:t>
      </w:r>
      <w:r>
        <w:rPr>
          <w:rFonts w:hint="eastAsia" w:eastAsia="仿宋_GB2312"/>
          <w:sz w:val="32"/>
          <w:szCs w:val="32"/>
        </w:rPr>
        <w:t>土壤污染源头防控有待加强。我市</w:t>
      </w:r>
      <w:r>
        <w:rPr>
          <w:rFonts w:hint="eastAsia" w:eastAsia="仿宋_GB2312"/>
          <w:sz w:val="32"/>
          <w:szCs w:val="32"/>
          <w:lang w:val="zh-CN"/>
        </w:rPr>
        <w:t>重点行业企业数量位居全省前列，污染物排放总量仍处于高位，部分企业污染防治设施尚不完善。部分土壤污染重点监管单位尚未全面落实土壤污染防治义务</w:t>
      </w:r>
      <w:r>
        <w:rPr>
          <w:rFonts w:hint="eastAsia" w:eastAsia="仿宋_GB2312"/>
          <w:sz w:val="32"/>
          <w:szCs w:val="32"/>
          <w:lang w:val="en"/>
        </w:rPr>
        <w:t>。农业面源污染控制还需持续发力。</w:t>
      </w:r>
      <w:r>
        <w:rPr>
          <w:rFonts w:hint="eastAsia" w:eastAsia="仿宋_GB2312"/>
          <w:b/>
          <w:bCs/>
          <w:sz w:val="32"/>
          <w:szCs w:val="32"/>
          <w:lang w:val="zh-CN"/>
        </w:rPr>
        <w:t>二是</w:t>
      </w:r>
      <w:r>
        <w:rPr>
          <w:rFonts w:hint="eastAsia" w:eastAsia="仿宋_GB2312"/>
          <w:sz w:val="32"/>
          <w:szCs w:val="32"/>
          <w:lang w:val="zh-CN"/>
        </w:rPr>
        <w:t>农用地安全利用水平有待巩固提升。全市受污染耕地实现长期安全利用和严格管控，还面临着技术模式不成熟、资金投入大、农民种植习惯调整难、积极性不高等问题。</w:t>
      </w:r>
      <w:r>
        <w:rPr>
          <w:rFonts w:hint="eastAsia" w:eastAsia="仿宋_GB2312"/>
          <w:b/>
          <w:bCs/>
          <w:sz w:val="32"/>
          <w:szCs w:val="32"/>
          <w:lang w:val="zh-CN"/>
        </w:rPr>
        <w:t>三是</w:t>
      </w:r>
      <w:r>
        <w:rPr>
          <w:rFonts w:hint="eastAsia" w:eastAsia="仿宋_GB2312"/>
          <w:sz w:val="32"/>
          <w:szCs w:val="32"/>
          <w:lang w:val="zh-CN"/>
        </w:rPr>
        <w:t>建设用地准入管理尚有提升空间。</w:t>
      </w:r>
      <w:r>
        <w:rPr>
          <w:rFonts w:hint="eastAsia" w:eastAsia="仿宋_GB2312"/>
          <w:sz w:val="32"/>
          <w:szCs w:val="32"/>
        </w:rPr>
        <w:t>我市需</w:t>
      </w:r>
      <w:r>
        <w:rPr>
          <w:rFonts w:hint="eastAsia" w:eastAsia="仿宋_GB2312"/>
          <w:sz w:val="32"/>
          <w:szCs w:val="32"/>
          <w:lang w:val="zh-CN"/>
        </w:rPr>
        <w:t>管控与修复的地块数量位居全省第一，污染地块安全利用压力大。污染地块调查修复周期长与土地开发利用需求迫切的矛盾突出，违规开发建设的风险依然长期存在。已出台的建设用地环境管理政策有待强化实施。</w:t>
      </w:r>
    </w:p>
    <w:p>
      <w:pPr>
        <w:widowControl/>
        <w:spacing w:line="590" w:lineRule="exact"/>
        <w:ind w:firstLine="643" w:firstLineChars="200"/>
        <w:rPr>
          <w:rFonts w:eastAsia="仿宋_GB2312"/>
          <w:bCs/>
          <w:kern w:val="0"/>
          <w:sz w:val="32"/>
          <w:szCs w:val="32"/>
        </w:rPr>
      </w:pPr>
      <w:r>
        <w:rPr>
          <w:rFonts w:hint="eastAsia" w:eastAsia="仿宋_GB2312"/>
          <w:b/>
          <w:bCs/>
          <w:kern w:val="0"/>
          <w:sz w:val="32"/>
          <w:szCs w:val="32"/>
        </w:rPr>
        <w:t>地下水污染防治工作基础薄弱。</w:t>
      </w:r>
      <w:r>
        <w:rPr>
          <w:rFonts w:hint="eastAsia" w:eastAsia="仿宋_GB2312"/>
          <w:b/>
          <w:kern w:val="0"/>
          <w:sz w:val="32"/>
          <w:szCs w:val="32"/>
        </w:rPr>
        <w:t>一是</w:t>
      </w:r>
      <w:r>
        <w:rPr>
          <w:rFonts w:hint="eastAsia" w:eastAsia="仿宋_GB2312"/>
          <w:bCs/>
          <w:kern w:val="0"/>
          <w:sz w:val="32"/>
          <w:szCs w:val="32"/>
        </w:rPr>
        <w:t>亟待摸清全市地下水环境质量状况。全市</w:t>
      </w:r>
      <w:r>
        <w:rPr>
          <w:rFonts w:hint="eastAsia" w:eastAsia="仿宋_GB2312"/>
          <w:kern w:val="0"/>
          <w:sz w:val="32"/>
          <w:szCs w:val="18"/>
        </w:rPr>
        <w:t>地下水“双源”刚完成初步调查，大部分污染源未</w:t>
      </w:r>
      <w:r>
        <w:rPr>
          <w:rFonts w:hint="eastAsia" w:eastAsia="仿宋_GB2312"/>
          <w:kern w:val="0"/>
          <w:sz w:val="32"/>
          <w:szCs w:val="32"/>
          <w:lang w:val="zh-CN"/>
        </w:rPr>
        <w:t>规范</w:t>
      </w:r>
      <w:r>
        <w:rPr>
          <w:rFonts w:hint="eastAsia" w:eastAsia="仿宋_GB2312"/>
          <w:kern w:val="0"/>
          <w:sz w:val="32"/>
          <w:szCs w:val="18"/>
        </w:rPr>
        <w:t>建设满足</w:t>
      </w:r>
      <w:r>
        <w:rPr>
          <w:rFonts w:hint="eastAsia" w:eastAsia="仿宋_GB2312"/>
          <w:kern w:val="0"/>
          <w:sz w:val="32"/>
          <w:szCs w:val="32"/>
          <w:lang w:val="zh-CN"/>
        </w:rPr>
        <w:t>生态环境监管需求的地下水监测井，</w:t>
      </w:r>
      <w:r>
        <w:rPr>
          <w:rFonts w:hint="eastAsia" w:eastAsia="仿宋_GB2312"/>
          <w:kern w:val="0"/>
          <w:sz w:val="32"/>
          <w:szCs w:val="18"/>
        </w:rPr>
        <w:t>生态环境部门缺乏长期监测数据，</w:t>
      </w:r>
      <w:r>
        <w:rPr>
          <w:rFonts w:hint="eastAsia" w:eastAsia="仿宋_GB2312"/>
          <w:bCs/>
          <w:kern w:val="0"/>
          <w:sz w:val="32"/>
          <w:szCs w:val="32"/>
        </w:rPr>
        <w:t>污染源地下水污染状况底数不清</w:t>
      </w:r>
      <w:r>
        <w:rPr>
          <w:rFonts w:hint="eastAsia" w:eastAsia="仿宋_GB2312"/>
          <w:kern w:val="0"/>
          <w:sz w:val="32"/>
          <w:szCs w:val="18"/>
        </w:rPr>
        <w:t>。</w:t>
      </w:r>
      <w:r>
        <w:rPr>
          <w:rFonts w:hint="eastAsia" w:eastAsia="仿宋_GB2312"/>
          <w:b/>
          <w:bCs/>
          <w:kern w:val="0"/>
          <w:sz w:val="32"/>
          <w:szCs w:val="32"/>
        </w:rPr>
        <w:t>二是</w:t>
      </w:r>
      <w:r>
        <w:rPr>
          <w:rFonts w:hint="eastAsia" w:eastAsia="仿宋_GB2312"/>
          <w:bCs/>
          <w:kern w:val="0"/>
          <w:sz w:val="32"/>
          <w:szCs w:val="32"/>
        </w:rPr>
        <w:t>地下水污染源头管控</w:t>
      </w:r>
      <w:r>
        <w:rPr>
          <w:rFonts w:hint="eastAsia" w:eastAsia="仿宋_GB2312"/>
          <w:kern w:val="0"/>
          <w:sz w:val="32"/>
          <w:szCs w:val="32"/>
        </w:rPr>
        <w:t>能力</w:t>
      </w:r>
      <w:r>
        <w:rPr>
          <w:rFonts w:hint="eastAsia" w:eastAsia="仿宋_GB2312"/>
          <w:bCs/>
          <w:kern w:val="0"/>
          <w:sz w:val="32"/>
          <w:szCs w:val="32"/>
        </w:rPr>
        <w:t>有待加强。垃圾填埋场、危险废物处置场、工业集聚区等地下水重点污染源管控</w:t>
      </w:r>
      <w:r>
        <w:rPr>
          <w:rFonts w:hint="eastAsia" w:eastAsia="仿宋_GB2312"/>
          <w:kern w:val="0"/>
          <w:sz w:val="32"/>
          <w:szCs w:val="32"/>
        </w:rPr>
        <w:t>水平有待提升</w:t>
      </w:r>
      <w:r>
        <w:rPr>
          <w:rFonts w:hint="eastAsia" w:eastAsia="仿宋_GB2312"/>
          <w:bCs/>
          <w:kern w:val="0"/>
          <w:sz w:val="32"/>
          <w:szCs w:val="32"/>
        </w:rPr>
        <w:t>，地表水</w:t>
      </w:r>
      <w:r>
        <w:rPr>
          <w:rFonts w:eastAsia="仿宋_GB2312"/>
          <w:bCs/>
          <w:kern w:val="0"/>
          <w:sz w:val="32"/>
          <w:szCs w:val="32"/>
        </w:rPr>
        <w:t>-</w:t>
      </w:r>
      <w:r>
        <w:rPr>
          <w:rFonts w:hint="eastAsia" w:eastAsia="仿宋_GB2312"/>
          <w:bCs/>
          <w:kern w:val="0"/>
          <w:sz w:val="32"/>
          <w:szCs w:val="32"/>
        </w:rPr>
        <w:t>地下水、土壤</w:t>
      </w:r>
      <w:r>
        <w:rPr>
          <w:rFonts w:eastAsia="仿宋_GB2312"/>
          <w:bCs/>
          <w:kern w:val="0"/>
          <w:sz w:val="32"/>
          <w:szCs w:val="32"/>
        </w:rPr>
        <w:t>-</w:t>
      </w:r>
      <w:r>
        <w:rPr>
          <w:rFonts w:hint="eastAsia" w:eastAsia="仿宋_GB2312"/>
          <w:bCs/>
          <w:kern w:val="0"/>
          <w:sz w:val="32"/>
          <w:szCs w:val="32"/>
        </w:rPr>
        <w:t>地下水和农业面源</w:t>
      </w:r>
      <w:r>
        <w:rPr>
          <w:rFonts w:eastAsia="仿宋_GB2312"/>
          <w:bCs/>
          <w:kern w:val="0"/>
          <w:sz w:val="32"/>
          <w:szCs w:val="32"/>
        </w:rPr>
        <w:t>-</w:t>
      </w:r>
      <w:r>
        <w:rPr>
          <w:rFonts w:hint="eastAsia" w:eastAsia="仿宋_GB2312"/>
          <w:bCs/>
          <w:kern w:val="0"/>
          <w:sz w:val="32"/>
          <w:szCs w:val="32"/>
        </w:rPr>
        <w:t>地下水等协同防治开展不足。</w:t>
      </w:r>
      <w:r>
        <w:rPr>
          <w:rFonts w:hint="eastAsia" w:eastAsia="仿宋_GB2312"/>
          <w:b/>
          <w:kern w:val="0"/>
          <w:sz w:val="32"/>
          <w:szCs w:val="32"/>
        </w:rPr>
        <w:t>三是</w:t>
      </w:r>
      <w:r>
        <w:rPr>
          <w:rFonts w:hint="eastAsia" w:eastAsia="仿宋_GB2312"/>
          <w:kern w:val="0"/>
          <w:sz w:val="32"/>
          <w:szCs w:val="32"/>
          <w:lang w:val="zh-CN"/>
        </w:rPr>
        <w:t>地下水环境管理基础薄弱。水文地质等关键地下水信息尚未实现信息共享，地下水环境分区管理、分级防治机制不完善，污染风险管控和修复刚刚起步。</w:t>
      </w:r>
    </w:p>
    <w:p>
      <w:pPr>
        <w:widowControl/>
        <w:spacing w:line="590" w:lineRule="exact"/>
        <w:ind w:firstLine="643" w:firstLineChars="200"/>
        <w:rPr>
          <w:rFonts w:eastAsia="仿宋_GB2312"/>
          <w:kern w:val="0"/>
          <w:sz w:val="32"/>
          <w:szCs w:val="32"/>
          <w:lang w:val="zh-CN"/>
        </w:rPr>
      </w:pPr>
      <w:r>
        <w:rPr>
          <w:rFonts w:hint="eastAsia" w:eastAsia="仿宋_GB2312"/>
          <w:b/>
          <w:kern w:val="0"/>
          <w:sz w:val="32"/>
          <w:szCs w:val="32"/>
          <w:lang w:val="zh-CN"/>
        </w:rPr>
        <w:t>环境监管能力有待提升。一是</w:t>
      </w:r>
      <w:r>
        <w:rPr>
          <w:rFonts w:hint="eastAsia" w:eastAsia="仿宋_GB2312"/>
          <w:kern w:val="0"/>
          <w:sz w:val="32"/>
          <w:szCs w:val="32"/>
          <w:lang w:val="zh-CN"/>
        </w:rPr>
        <w:t>全市土壤、地下水污染防治管理制度体系尚需健全。建设用地修复从业单位信用管理、治理修复二次污染防治、地块风险管控后期监管等地方管理制度体系还需提升；地下水环境管理制度亟待完善，部门间信息共享和联动监管有待优化。</w:t>
      </w:r>
      <w:r>
        <w:rPr>
          <w:rFonts w:hint="eastAsia" w:eastAsia="仿宋_GB2312"/>
          <w:b/>
          <w:bCs/>
          <w:kern w:val="0"/>
          <w:sz w:val="32"/>
          <w:szCs w:val="32"/>
          <w:lang w:val="zh-CN"/>
        </w:rPr>
        <w:t>二是</w:t>
      </w:r>
      <w:r>
        <w:rPr>
          <w:rFonts w:hint="eastAsia" w:eastAsia="仿宋_GB2312"/>
          <w:kern w:val="0"/>
          <w:sz w:val="32"/>
          <w:szCs w:val="32"/>
          <w:lang w:val="zh-CN"/>
        </w:rPr>
        <w:t>土壤、地下水生态环境监测能力有待提升，监测网络有待进一步优化和健全。</w:t>
      </w:r>
      <w:r>
        <w:rPr>
          <w:rFonts w:hint="eastAsia" w:eastAsia="仿宋_GB2312"/>
          <w:b/>
          <w:bCs/>
          <w:kern w:val="0"/>
          <w:sz w:val="32"/>
          <w:szCs w:val="32"/>
          <w:lang w:val="zh-CN"/>
        </w:rPr>
        <w:t>三是</w:t>
      </w:r>
      <w:r>
        <w:rPr>
          <w:rFonts w:hint="eastAsia" w:eastAsia="仿宋_GB2312"/>
          <w:kern w:val="0"/>
          <w:sz w:val="32"/>
          <w:szCs w:val="32"/>
          <w:lang w:val="zh-CN"/>
        </w:rPr>
        <w:t>基层监管和执法队伍建设亟待加强，大数据、智能化设备应用有待深化与推广。此外，土壤污染详查数据有待深度挖掘，科技支撑精准度有待提升。</w:t>
      </w:r>
    </w:p>
    <w:p>
      <w:pPr>
        <w:widowControl/>
        <w:spacing w:line="590" w:lineRule="exact"/>
        <w:ind w:firstLine="640" w:firstLineChars="200"/>
        <w:rPr>
          <w:rFonts w:eastAsia="仿宋_GB2312"/>
          <w:kern w:val="0"/>
          <w:sz w:val="32"/>
          <w:szCs w:val="32"/>
          <w:lang w:val="zh-CN"/>
        </w:rPr>
      </w:pPr>
      <w:r>
        <w:rPr>
          <w:rFonts w:hint="eastAsia" w:eastAsia="仿宋_GB2312"/>
          <w:kern w:val="0"/>
          <w:sz w:val="32"/>
          <w:szCs w:val="32"/>
          <w:lang w:val="zh-CN"/>
        </w:rPr>
        <w:t>总体而言，“十四五”期间土壤与地下水污染防治工作面临重要的战略机遇，在污染防治攻坚战取得阶段性成果基础上，要充分利用新机遇新条件，妥善应对各种风险和挑战，坚定推进土壤和地下水污染防治，为实现美丽广州目标奠定坚实基础。</w:t>
      </w:r>
      <w:bookmarkStart w:id="54" w:name="_Toc14165"/>
      <w:bookmarkStart w:id="55" w:name="_Toc76741397"/>
      <w:bookmarkStart w:id="56" w:name="_Toc91857583"/>
      <w:bookmarkStart w:id="57" w:name="_Toc103710416"/>
      <w:bookmarkStart w:id="58" w:name="_Toc90311699"/>
      <w:bookmarkStart w:id="59" w:name="_Toc12860"/>
      <w:bookmarkStart w:id="60" w:name="_Toc21557"/>
    </w:p>
    <w:p>
      <w:pPr>
        <w:pStyle w:val="17"/>
        <w:spacing w:before="0" w:beforeAutospacing="0" w:after="0" w:afterAutospacing="0" w:line="590" w:lineRule="exact"/>
        <w:ind w:firstLine="640" w:firstLineChars="200"/>
        <w:outlineLvl w:val="0"/>
        <w:rPr>
          <w:rFonts w:ascii="Times New Roman" w:hAnsi="Times New Roman" w:eastAsia="黑体" w:cs="Times New Roman"/>
          <w:sz w:val="32"/>
          <w:szCs w:val="32"/>
        </w:rPr>
      </w:pPr>
      <w:bookmarkStart w:id="61" w:name="_Toc8857"/>
      <w:bookmarkStart w:id="62" w:name="_Toc669"/>
      <w:r>
        <w:rPr>
          <w:rFonts w:hint="eastAsia" w:ascii="Times New Roman" w:hAnsi="Times New Roman" w:eastAsia="黑体"/>
          <w:sz w:val="32"/>
          <w:szCs w:val="32"/>
        </w:rPr>
        <w:t>二、总体要求</w:t>
      </w:r>
      <w:bookmarkEnd w:id="54"/>
      <w:bookmarkEnd w:id="55"/>
      <w:bookmarkEnd w:id="56"/>
      <w:bookmarkEnd w:id="57"/>
      <w:bookmarkEnd w:id="58"/>
      <w:bookmarkEnd w:id="59"/>
      <w:bookmarkEnd w:id="60"/>
      <w:bookmarkEnd w:id="61"/>
      <w:bookmarkEnd w:id="62"/>
    </w:p>
    <w:p>
      <w:pPr>
        <w:pStyle w:val="16"/>
        <w:spacing w:before="0" w:beforeAutospacing="0" w:after="0" w:afterAutospacing="0" w:line="590" w:lineRule="exact"/>
        <w:ind w:firstLine="643" w:firstLineChars="200"/>
        <w:outlineLvl w:val="1"/>
        <w:rPr>
          <w:rFonts w:ascii="Times New Roman" w:hAnsi="Times New Roman" w:eastAsia="楷体_GB2312" w:cs="Times New Roman"/>
          <w:b/>
          <w:sz w:val="32"/>
          <w:szCs w:val="32"/>
        </w:rPr>
      </w:pPr>
      <w:bookmarkStart w:id="63" w:name="_Toc21533"/>
      <w:bookmarkStart w:id="64" w:name="_Toc15707"/>
      <w:bookmarkStart w:id="65" w:name="_Toc29521"/>
      <w:bookmarkStart w:id="66" w:name="_Toc90311700"/>
      <w:bookmarkStart w:id="67" w:name="_Toc236"/>
      <w:bookmarkStart w:id="68" w:name="_Toc103710417"/>
      <w:bookmarkStart w:id="69" w:name="_Toc9638"/>
      <w:bookmarkStart w:id="70" w:name="_Toc91857584"/>
      <w:bookmarkStart w:id="71" w:name="_Toc76741398"/>
      <w:r>
        <w:rPr>
          <w:rFonts w:hint="eastAsia" w:ascii="Times New Roman" w:hAnsi="Times New Roman" w:eastAsia="楷体_GB2312"/>
          <w:b/>
          <w:sz w:val="32"/>
          <w:szCs w:val="32"/>
        </w:rPr>
        <w:t>（一）指导思想</w:t>
      </w:r>
      <w:bookmarkEnd w:id="2"/>
      <w:bookmarkEnd w:id="3"/>
      <w:bookmarkEnd w:id="63"/>
      <w:bookmarkEnd w:id="64"/>
      <w:bookmarkEnd w:id="65"/>
      <w:bookmarkEnd w:id="66"/>
      <w:bookmarkEnd w:id="67"/>
      <w:bookmarkEnd w:id="68"/>
      <w:bookmarkEnd w:id="69"/>
      <w:bookmarkEnd w:id="70"/>
      <w:bookmarkEnd w:id="71"/>
    </w:p>
    <w:p>
      <w:pPr>
        <w:pStyle w:val="7"/>
        <w:widowControl w:val="0"/>
        <w:spacing w:line="590" w:lineRule="exact"/>
        <w:ind w:left="0" w:leftChars="0" w:right="69" w:rightChars="33" w:firstLine="640" w:firstLineChars="200"/>
        <w:jc w:val="both"/>
        <w:rPr>
          <w:rFonts w:ascii="Times New Roman" w:hAnsi="Times New Roman" w:cs="Times New Roman"/>
          <w:kern w:val="2"/>
          <w:szCs w:val="32"/>
        </w:rPr>
      </w:pPr>
      <w:r>
        <w:rPr>
          <w:rFonts w:hint="eastAsia" w:ascii="Times New Roman" w:hAnsi="Times New Roman" w:cs="Times New Roman"/>
          <w:kern w:val="2"/>
          <w:szCs w:val="32"/>
        </w:rPr>
        <w:t>以习近平新时代中国特色社会主义思想为指导，深入贯彻党的十九大和十九届历次全会精神，认真践行习近平生态文明思想，全面落实习近平总书记对广东重要讲话和重要指示批示精神，紧紧抓住粤港澳大湾区建设、构建“一核一带一区”区域协调发展新格局等重大战略的历史机遇，以生态环境高水平保护推动经济高质量发展为引领，开创美丽广州建设新局面。坚持保护优先、预防为主、风险管控、系统治理，突出精准治污、科学治污、依法治污，全面贯彻土壤污染防治法、水污染防治法，深入实施乡村振兴战略规划。以保障农产品质量安全、人居环境安全、地下水生态环境安全为目标，以实施一批重大工程为抓手，解决一批突出土壤与地下水生态环境问题，促进土壤与地下水资源可持续利用，建设更高水平的美丽广州。</w:t>
      </w:r>
    </w:p>
    <w:p>
      <w:pPr>
        <w:pStyle w:val="3"/>
        <w:widowControl w:val="0"/>
        <w:spacing w:before="0" w:after="0" w:line="590" w:lineRule="exact"/>
        <w:ind w:firstLine="643" w:firstLineChars="200"/>
        <w:jc w:val="both"/>
        <w:rPr>
          <w:rFonts w:ascii="Times New Roman" w:hAnsi="Times New Roman" w:eastAsia="楷体_GB2312" w:cs="Times New Roman"/>
          <w:sz w:val="32"/>
        </w:rPr>
      </w:pPr>
      <w:bookmarkStart w:id="72" w:name="_Toc90311701"/>
      <w:bookmarkStart w:id="73" w:name="_Toc30080"/>
      <w:bookmarkStart w:id="74" w:name="_Toc19808"/>
      <w:bookmarkStart w:id="75" w:name="_Toc76741399"/>
      <w:bookmarkStart w:id="76" w:name="_Toc19580"/>
      <w:bookmarkStart w:id="77" w:name="_Toc103710418"/>
      <w:bookmarkStart w:id="78" w:name="_Toc91857585"/>
      <w:bookmarkStart w:id="79" w:name="_Toc72621542"/>
      <w:bookmarkStart w:id="80" w:name="_Toc72534735"/>
      <w:bookmarkStart w:id="81" w:name="_Toc20934"/>
      <w:bookmarkStart w:id="82" w:name="_Toc12960"/>
      <w:r>
        <w:rPr>
          <w:rFonts w:hint="eastAsia" w:ascii="Times New Roman" w:hAnsi="Times New Roman" w:eastAsia="楷体_GB2312"/>
          <w:sz w:val="32"/>
        </w:rPr>
        <w:t>（二）工作原则</w:t>
      </w:r>
      <w:bookmarkEnd w:id="72"/>
      <w:bookmarkEnd w:id="73"/>
      <w:bookmarkEnd w:id="74"/>
      <w:bookmarkEnd w:id="75"/>
      <w:bookmarkEnd w:id="76"/>
      <w:bookmarkEnd w:id="77"/>
      <w:bookmarkEnd w:id="78"/>
      <w:bookmarkEnd w:id="79"/>
      <w:bookmarkEnd w:id="80"/>
      <w:bookmarkEnd w:id="81"/>
      <w:bookmarkEnd w:id="82"/>
    </w:p>
    <w:p>
      <w:pPr>
        <w:widowControl/>
        <w:spacing w:line="590" w:lineRule="exact"/>
        <w:ind w:firstLine="643" w:firstLineChars="200"/>
        <w:rPr>
          <w:rFonts w:eastAsia="仿宋_GB2312"/>
          <w:kern w:val="0"/>
          <w:sz w:val="32"/>
          <w:szCs w:val="32"/>
        </w:rPr>
      </w:pPr>
      <w:bookmarkStart w:id="83" w:name="_Hlk90132230"/>
      <w:r>
        <w:rPr>
          <w:rFonts w:hint="eastAsia" w:eastAsia="仿宋_GB2312"/>
          <w:b/>
          <w:kern w:val="0"/>
          <w:sz w:val="32"/>
          <w:szCs w:val="32"/>
        </w:rPr>
        <w:t>保护优先，源头减量。</w:t>
      </w:r>
      <w:r>
        <w:rPr>
          <w:rFonts w:hint="eastAsia" w:eastAsia="仿宋_GB2312"/>
          <w:kern w:val="0"/>
          <w:sz w:val="32"/>
          <w:szCs w:val="32"/>
        </w:rPr>
        <w:t>加强空间布局管控，强化环境准入。开展污染隐患排查整治，削减或切断污染物进入土壤、地下水环境的途径。深入实施农药化肥减量化，推进农业生产清洁化、产业模式生态化，</w:t>
      </w:r>
      <w:r>
        <w:rPr>
          <w:rFonts w:hint="eastAsia" w:eastAsia="仿宋"/>
          <w:kern w:val="0"/>
          <w:sz w:val="32"/>
          <w:szCs w:val="21"/>
        </w:rPr>
        <w:t>实施可持续发展战略</w:t>
      </w:r>
      <w:r>
        <w:rPr>
          <w:rFonts w:hint="eastAsia" w:eastAsia="仿宋_GB2312"/>
          <w:kern w:val="0"/>
          <w:sz w:val="32"/>
          <w:szCs w:val="32"/>
        </w:rPr>
        <w:t>。</w:t>
      </w:r>
    </w:p>
    <w:p>
      <w:pPr>
        <w:widowControl/>
        <w:kinsoku w:val="0"/>
        <w:overflowPunct w:val="0"/>
        <w:spacing w:line="590" w:lineRule="exact"/>
        <w:ind w:firstLine="643" w:firstLineChars="200"/>
        <w:textAlignment w:val="baseline"/>
        <w:rPr>
          <w:rFonts w:eastAsia="仿宋_GB2312"/>
          <w:kern w:val="0"/>
          <w:sz w:val="32"/>
          <w:szCs w:val="32"/>
          <w:lang w:bidi="ar"/>
        </w:rPr>
      </w:pPr>
      <w:r>
        <w:rPr>
          <w:rFonts w:hint="eastAsia" w:eastAsia="仿宋_GB2312"/>
          <w:b/>
          <w:bCs/>
          <w:kern w:val="0"/>
          <w:sz w:val="32"/>
          <w:szCs w:val="32"/>
          <w:lang w:bidi="ar"/>
        </w:rPr>
        <w:t>问题导向，精准施策。</w:t>
      </w:r>
      <w:r>
        <w:rPr>
          <w:rFonts w:hint="eastAsia" w:eastAsia="仿宋_GB2312"/>
          <w:kern w:val="0"/>
          <w:sz w:val="32"/>
          <w:szCs w:val="32"/>
          <w:lang w:bidi="ar"/>
        </w:rPr>
        <w:t>围绕重点区域、行业和污染物，聚焦突出环境问题，结合经济社会发展水平，因地制宜制定土壤与地下水生态环境保护措施，分类施策、分阶段整治，做到目标科学，指标合理，措施管用，效果可估。</w:t>
      </w:r>
    </w:p>
    <w:p>
      <w:pPr>
        <w:widowControl/>
        <w:overflowPunct w:val="0"/>
        <w:spacing w:line="590" w:lineRule="exact"/>
        <w:ind w:firstLine="643" w:firstLineChars="200"/>
        <w:textAlignment w:val="baseline"/>
        <w:rPr>
          <w:rFonts w:eastAsia="仿宋_GB2312"/>
          <w:kern w:val="0"/>
          <w:sz w:val="32"/>
          <w:szCs w:val="32"/>
          <w:lang w:bidi="ar"/>
        </w:rPr>
      </w:pPr>
      <w:r>
        <w:rPr>
          <w:rFonts w:hint="eastAsia" w:eastAsia="仿宋_GB2312"/>
          <w:b/>
          <w:kern w:val="0"/>
          <w:sz w:val="32"/>
          <w:szCs w:val="32"/>
          <w:lang w:bidi="ar"/>
        </w:rPr>
        <w:t>系统治理，协同防控。</w:t>
      </w:r>
      <w:r>
        <w:rPr>
          <w:rFonts w:hint="eastAsia" w:eastAsia="仿宋_GB2312"/>
          <w:bCs/>
          <w:kern w:val="0"/>
          <w:sz w:val="32"/>
          <w:szCs w:val="32"/>
          <w:lang w:bidi="ar"/>
        </w:rPr>
        <w:t>坚持以土壤与地下水生态环境改善为核心，</w:t>
      </w:r>
      <w:r>
        <w:rPr>
          <w:rFonts w:hint="eastAsia" w:eastAsia="仿宋_GB2312"/>
          <w:kern w:val="0"/>
          <w:sz w:val="32"/>
          <w:szCs w:val="32"/>
        </w:rPr>
        <w:t>打通地上和地下，</w:t>
      </w:r>
      <w:r>
        <w:rPr>
          <w:rFonts w:hint="eastAsia" w:eastAsia="仿宋_GB2312"/>
          <w:bCs/>
          <w:kern w:val="0"/>
          <w:sz w:val="32"/>
          <w:szCs w:val="32"/>
          <w:lang w:bidi="ar"/>
        </w:rPr>
        <w:t>强化源头治理、系统治理、整体治理，</w:t>
      </w:r>
      <w:r>
        <w:rPr>
          <w:rFonts w:hint="eastAsia" w:eastAsia="仿宋_GB2312"/>
          <w:kern w:val="0"/>
          <w:sz w:val="32"/>
          <w:szCs w:val="32"/>
          <w:lang w:bidi="ar"/>
        </w:rPr>
        <w:t>协同</w:t>
      </w:r>
      <w:r>
        <w:rPr>
          <w:rFonts w:hint="eastAsia" w:eastAsia="仿宋_GB2312"/>
          <w:kern w:val="0"/>
          <w:sz w:val="32"/>
          <w:szCs w:val="32"/>
        </w:rPr>
        <w:t>推进</w:t>
      </w:r>
      <w:r>
        <w:rPr>
          <w:rFonts w:hint="eastAsia" w:eastAsia="仿宋_GB2312"/>
          <w:kern w:val="0"/>
          <w:sz w:val="32"/>
          <w:szCs w:val="32"/>
          <w:lang w:bidi="ar"/>
        </w:rPr>
        <w:t>土壤</w:t>
      </w:r>
      <w:r>
        <w:rPr>
          <w:rFonts w:hint="eastAsia" w:eastAsia="仿宋_GB2312"/>
          <w:kern w:val="0"/>
          <w:sz w:val="32"/>
          <w:szCs w:val="32"/>
        </w:rPr>
        <w:t>、</w:t>
      </w:r>
      <w:r>
        <w:rPr>
          <w:rFonts w:hint="eastAsia" w:eastAsia="仿宋_GB2312"/>
          <w:kern w:val="0"/>
          <w:sz w:val="32"/>
          <w:szCs w:val="32"/>
          <w:lang w:bidi="ar"/>
        </w:rPr>
        <w:t>水、大气、固体废物污染治理</w:t>
      </w:r>
      <w:r>
        <w:rPr>
          <w:rFonts w:hint="eastAsia" w:eastAsia="仿宋_GB2312"/>
          <w:kern w:val="0"/>
          <w:sz w:val="32"/>
          <w:szCs w:val="32"/>
        </w:rPr>
        <w:t>，统筹实施生态保护与污染防治。</w:t>
      </w:r>
    </w:p>
    <w:p>
      <w:pPr>
        <w:widowControl/>
        <w:kinsoku w:val="0"/>
        <w:overflowPunct w:val="0"/>
        <w:spacing w:line="590" w:lineRule="exact"/>
        <w:ind w:firstLine="643" w:firstLineChars="200"/>
        <w:textAlignment w:val="baseline"/>
        <w:rPr>
          <w:rFonts w:eastAsia="仿宋_GB2312"/>
          <w:kern w:val="0"/>
          <w:sz w:val="32"/>
          <w:szCs w:val="32"/>
          <w:lang w:bidi="ar"/>
        </w:rPr>
      </w:pPr>
      <w:r>
        <w:rPr>
          <w:rFonts w:hint="eastAsia" w:eastAsia="仿宋_GB2312"/>
          <w:b/>
          <w:kern w:val="0"/>
          <w:sz w:val="32"/>
          <w:szCs w:val="32"/>
        </w:rPr>
        <w:t>强化监管，社会共治。</w:t>
      </w:r>
      <w:r>
        <w:rPr>
          <w:rFonts w:hint="eastAsia" w:eastAsia="仿宋_GB2312"/>
          <w:kern w:val="0"/>
          <w:sz w:val="32"/>
          <w:szCs w:val="32"/>
        </w:rPr>
        <w:t>完</w:t>
      </w:r>
      <w:r>
        <w:rPr>
          <w:rFonts w:hint="eastAsia" w:eastAsia="仿宋_GB2312"/>
          <w:kern w:val="0"/>
          <w:sz w:val="32"/>
          <w:szCs w:val="32"/>
          <w:lang w:bidi="ar"/>
        </w:rPr>
        <w:t>善土壤与地下水污染防治</w:t>
      </w:r>
      <w:r>
        <w:rPr>
          <w:rFonts w:hint="eastAsia" w:eastAsia="仿宋_GB2312"/>
          <w:kern w:val="0"/>
          <w:sz w:val="32"/>
          <w:szCs w:val="32"/>
        </w:rPr>
        <w:t>制度</w:t>
      </w:r>
      <w:r>
        <w:rPr>
          <w:rFonts w:hint="eastAsia" w:eastAsia="仿宋_GB2312"/>
          <w:kern w:val="0"/>
          <w:sz w:val="32"/>
          <w:szCs w:val="32"/>
          <w:lang w:bidi="ar"/>
        </w:rPr>
        <w:t>体系，完善环境监测网络，</w:t>
      </w:r>
      <w:r>
        <w:rPr>
          <w:rFonts w:hint="eastAsia" w:eastAsia="仿宋_GB2312"/>
          <w:kern w:val="0"/>
          <w:sz w:val="32"/>
          <w:szCs w:val="32"/>
        </w:rPr>
        <w:t>充分利用污染防</w:t>
      </w:r>
      <w:r>
        <w:rPr>
          <w:rFonts w:hint="eastAsia" w:eastAsia="仿宋_GB2312"/>
          <w:kern w:val="0"/>
          <w:sz w:val="32"/>
          <w:szCs w:val="32"/>
          <w:lang w:bidi="ar"/>
        </w:rPr>
        <w:t>治大数据，提升科技支撑能力。推动联动监管，加强执法能力建设。</w:t>
      </w:r>
      <w:r>
        <w:rPr>
          <w:rFonts w:hint="eastAsia" w:eastAsia="仿宋_GB2312"/>
          <w:kern w:val="0"/>
          <w:sz w:val="32"/>
          <w:szCs w:val="32"/>
        </w:rPr>
        <w:t>推进环境信息公开，鼓励公众参与和监督污染防治工作</w:t>
      </w:r>
      <w:r>
        <w:rPr>
          <w:rFonts w:hint="eastAsia" w:eastAsia="仿宋_GB2312"/>
          <w:kern w:val="0"/>
          <w:sz w:val="32"/>
          <w:szCs w:val="32"/>
          <w:lang w:bidi="ar"/>
        </w:rPr>
        <w:t>。</w:t>
      </w:r>
    </w:p>
    <w:bookmarkEnd w:id="83"/>
    <w:p>
      <w:pPr>
        <w:pStyle w:val="3"/>
        <w:widowControl w:val="0"/>
        <w:spacing w:before="0" w:after="0" w:line="590" w:lineRule="exact"/>
        <w:ind w:firstLine="643" w:firstLineChars="200"/>
        <w:jc w:val="both"/>
        <w:rPr>
          <w:rFonts w:ascii="Times New Roman" w:hAnsi="Times New Roman" w:eastAsia="楷体_GB2312" w:cs="Times New Roman"/>
          <w:sz w:val="32"/>
        </w:rPr>
      </w:pPr>
      <w:bookmarkStart w:id="84" w:name="_Toc72534736"/>
      <w:bookmarkStart w:id="85" w:name="_Toc30022"/>
      <w:bookmarkStart w:id="86" w:name="_Toc24455"/>
      <w:bookmarkStart w:id="87" w:name="_Toc20184"/>
      <w:bookmarkStart w:id="88" w:name="_Toc91857586"/>
      <w:bookmarkStart w:id="89" w:name="_Toc72621543"/>
      <w:bookmarkStart w:id="90" w:name="_Toc6028"/>
      <w:bookmarkStart w:id="91" w:name="_Toc76741400"/>
      <w:bookmarkStart w:id="92" w:name="_Toc3909"/>
      <w:bookmarkStart w:id="93" w:name="_Toc90311702"/>
      <w:bookmarkStart w:id="94" w:name="_Toc103710419"/>
      <w:bookmarkStart w:id="95" w:name="_Toc72621528"/>
      <w:bookmarkStart w:id="96" w:name="_Toc72534721"/>
      <w:bookmarkStart w:id="97" w:name="_Toc68197149"/>
      <w:r>
        <w:rPr>
          <w:rFonts w:hint="eastAsia" w:ascii="Times New Roman" w:hAnsi="Times New Roman" w:eastAsia="楷体_GB2312"/>
          <w:sz w:val="32"/>
        </w:rPr>
        <w:t>（三）主要目标</w:t>
      </w:r>
      <w:bookmarkEnd w:id="84"/>
      <w:bookmarkEnd w:id="85"/>
      <w:bookmarkEnd w:id="86"/>
      <w:bookmarkEnd w:id="87"/>
      <w:bookmarkEnd w:id="88"/>
      <w:bookmarkEnd w:id="89"/>
      <w:bookmarkEnd w:id="90"/>
      <w:bookmarkEnd w:id="91"/>
      <w:bookmarkEnd w:id="92"/>
      <w:bookmarkEnd w:id="93"/>
      <w:bookmarkEnd w:id="94"/>
    </w:p>
    <w:p>
      <w:pPr>
        <w:widowControl/>
        <w:spacing w:line="590" w:lineRule="exact"/>
        <w:ind w:firstLine="640" w:firstLineChars="200"/>
        <w:rPr>
          <w:rFonts w:eastAsia="仿宋_GB2312"/>
          <w:kern w:val="0"/>
          <w:sz w:val="32"/>
          <w:szCs w:val="32"/>
        </w:rPr>
      </w:pPr>
      <w:r>
        <w:rPr>
          <w:rFonts w:hint="eastAsia" w:eastAsia="仿宋_GB2312"/>
          <w:kern w:val="0"/>
          <w:sz w:val="32"/>
          <w:szCs w:val="32"/>
        </w:rPr>
        <w:t>到</w:t>
      </w:r>
      <w:r>
        <w:rPr>
          <w:rFonts w:eastAsia="仿宋_GB2312"/>
          <w:kern w:val="0"/>
          <w:sz w:val="32"/>
          <w:szCs w:val="32"/>
        </w:rPr>
        <w:t>2025</w:t>
      </w:r>
      <w:r>
        <w:rPr>
          <w:rFonts w:hint="eastAsia" w:eastAsia="仿宋_GB2312"/>
          <w:kern w:val="0"/>
          <w:sz w:val="32"/>
          <w:szCs w:val="32"/>
        </w:rPr>
        <w:t>年，全市土壤与地下水污染源得到基本控制，环境质量总体保持稳定，局部有所改善，农用地和重点建设用地安全利用得到巩固提升，进一步保障老百姓</w:t>
      </w:r>
      <w:r>
        <w:rPr>
          <w:rFonts w:eastAsia="仿宋_GB2312"/>
          <w:kern w:val="0"/>
          <w:sz w:val="32"/>
          <w:szCs w:val="32"/>
        </w:rPr>
        <w:t>“</w:t>
      </w:r>
      <w:r>
        <w:rPr>
          <w:rFonts w:hint="eastAsia" w:eastAsia="仿宋_GB2312"/>
          <w:kern w:val="0"/>
          <w:sz w:val="32"/>
          <w:szCs w:val="32"/>
        </w:rPr>
        <w:t>吃得放心、住得安心</w:t>
      </w:r>
      <w:r>
        <w:rPr>
          <w:rFonts w:eastAsia="仿宋_GB2312"/>
          <w:kern w:val="0"/>
          <w:sz w:val="32"/>
          <w:szCs w:val="32"/>
        </w:rPr>
        <w:t>”</w:t>
      </w:r>
      <w:r>
        <w:rPr>
          <w:rFonts w:hint="eastAsia" w:eastAsia="仿宋_GB2312"/>
          <w:kern w:val="0"/>
          <w:sz w:val="32"/>
          <w:szCs w:val="32"/>
        </w:rPr>
        <w:t>，土壤与地下水环境风险得到进一步管控。</w:t>
      </w:r>
    </w:p>
    <w:p>
      <w:pPr>
        <w:pStyle w:val="11"/>
        <w:spacing w:line="590" w:lineRule="exact"/>
        <w:ind w:firstLine="0" w:firstLineChars="0"/>
        <w:contextualSpacing/>
        <w:jc w:val="center"/>
        <w:rPr>
          <w:rFonts w:eastAsia="仿宋_GB2312"/>
          <w:szCs w:val="28"/>
        </w:rPr>
      </w:pPr>
      <w:r>
        <w:rPr>
          <w:rFonts w:hint="eastAsia" w:eastAsia="仿宋_GB2312"/>
          <w:szCs w:val="28"/>
        </w:rPr>
        <w:t>表</w:t>
      </w:r>
      <w:r>
        <w:rPr>
          <w:rFonts w:eastAsia="仿宋_GB2312"/>
          <w:szCs w:val="28"/>
        </w:rPr>
        <w:t>1  “</w:t>
      </w:r>
      <w:r>
        <w:rPr>
          <w:rFonts w:hint="eastAsia" w:eastAsia="仿宋_GB2312"/>
          <w:szCs w:val="28"/>
        </w:rPr>
        <w:t>十四五</w:t>
      </w:r>
      <w:r>
        <w:rPr>
          <w:rFonts w:eastAsia="仿宋_GB2312"/>
          <w:szCs w:val="28"/>
        </w:rPr>
        <w:t>”</w:t>
      </w:r>
      <w:r>
        <w:rPr>
          <w:rFonts w:hint="eastAsia" w:eastAsia="仿宋_GB2312"/>
          <w:szCs w:val="28"/>
        </w:rPr>
        <w:t>土壤和地下水污染防治主要指标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4074"/>
        <w:gridCol w:w="2133"/>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tblHeader/>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90" w:lineRule="exact"/>
              <w:jc w:val="center"/>
              <w:rPr>
                <w:rFonts w:eastAsia="仿宋_GB2312"/>
                <w:b/>
                <w:kern w:val="0"/>
                <w:sz w:val="28"/>
                <w:szCs w:val="28"/>
              </w:rPr>
            </w:pPr>
            <w:r>
              <w:rPr>
                <w:rFonts w:hint="eastAsia" w:eastAsia="仿宋_GB2312"/>
                <w:b/>
                <w:kern w:val="0"/>
                <w:sz w:val="28"/>
                <w:szCs w:val="28"/>
              </w:rPr>
              <w:t>类型</w:t>
            </w: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90" w:lineRule="exact"/>
              <w:jc w:val="center"/>
              <w:rPr>
                <w:rFonts w:eastAsia="仿宋_GB2312"/>
                <w:b/>
                <w:kern w:val="0"/>
                <w:sz w:val="28"/>
                <w:szCs w:val="28"/>
              </w:rPr>
            </w:pPr>
            <w:r>
              <w:rPr>
                <w:rFonts w:hint="eastAsia" w:eastAsia="仿宋_GB2312"/>
                <w:b/>
                <w:kern w:val="0"/>
                <w:sz w:val="28"/>
                <w:szCs w:val="28"/>
              </w:rPr>
              <w:t>指标名称</w:t>
            </w:r>
          </w:p>
        </w:tc>
        <w:tc>
          <w:tcPr>
            <w:tcW w:w="21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90" w:lineRule="exact"/>
              <w:jc w:val="center"/>
              <w:rPr>
                <w:rFonts w:eastAsia="仿宋_GB2312"/>
                <w:b/>
                <w:kern w:val="0"/>
                <w:sz w:val="28"/>
                <w:szCs w:val="28"/>
              </w:rPr>
            </w:pPr>
            <w:r>
              <w:rPr>
                <w:rFonts w:eastAsia="仿宋_GB2312"/>
                <w:b/>
                <w:kern w:val="0"/>
                <w:sz w:val="28"/>
                <w:szCs w:val="28"/>
              </w:rPr>
              <w:t>2020</w:t>
            </w:r>
            <w:r>
              <w:rPr>
                <w:rFonts w:hint="eastAsia" w:eastAsia="仿宋_GB2312"/>
                <w:b/>
                <w:kern w:val="0"/>
                <w:sz w:val="28"/>
                <w:szCs w:val="28"/>
              </w:rPr>
              <w:t>年（现状值）</w:t>
            </w:r>
          </w:p>
        </w:tc>
        <w:tc>
          <w:tcPr>
            <w:tcW w:w="197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90" w:lineRule="exact"/>
              <w:jc w:val="center"/>
              <w:rPr>
                <w:rFonts w:eastAsia="仿宋_GB2312"/>
                <w:b/>
                <w:kern w:val="0"/>
                <w:sz w:val="28"/>
                <w:szCs w:val="28"/>
              </w:rPr>
            </w:pPr>
            <w:r>
              <w:rPr>
                <w:rFonts w:eastAsia="仿宋_GB2312"/>
                <w:b/>
                <w:kern w:val="0"/>
                <w:sz w:val="28"/>
                <w:szCs w:val="28"/>
              </w:rPr>
              <w:t>2025</w:t>
            </w:r>
            <w:r>
              <w:rPr>
                <w:rFonts w:hint="eastAsia" w:eastAsia="仿宋_GB2312"/>
                <w:b/>
                <w:kern w:val="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90" w:lineRule="exact"/>
              <w:jc w:val="center"/>
              <w:rPr>
                <w:rFonts w:eastAsia="仿宋_GB2312"/>
                <w:kern w:val="0"/>
                <w:sz w:val="28"/>
                <w:szCs w:val="28"/>
              </w:rPr>
            </w:pPr>
            <w:r>
              <w:rPr>
                <w:rFonts w:hint="eastAsia" w:eastAsia="仿宋_GB2312"/>
                <w:kern w:val="0"/>
                <w:sz w:val="28"/>
                <w:szCs w:val="28"/>
              </w:rPr>
              <w:t>土壤</w:t>
            </w: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90" w:lineRule="exact"/>
              <w:jc w:val="center"/>
              <w:rPr>
                <w:rFonts w:eastAsia="仿宋_GB2312"/>
                <w:kern w:val="0"/>
                <w:sz w:val="28"/>
                <w:szCs w:val="28"/>
              </w:rPr>
            </w:pPr>
            <w:bookmarkStart w:id="98" w:name="_Hlk104800782"/>
            <w:r>
              <w:rPr>
                <w:rFonts w:hint="eastAsia" w:eastAsia="仿宋_GB2312"/>
                <w:kern w:val="0"/>
                <w:sz w:val="28"/>
                <w:szCs w:val="28"/>
              </w:rPr>
              <w:t>受污染耕地安全利用率</w:t>
            </w:r>
            <w:bookmarkEnd w:id="98"/>
          </w:p>
        </w:tc>
        <w:tc>
          <w:tcPr>
            <w:tcW w:w="213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90" w:lineRule="exact"/>
              <w:jc w:val="center"/>
              <w:rPr>
                <w:rFonts w:eastAsia="仿宋_GB2312"/>
                <w:kern w:val="0"/>
                <w:sz w:val="28"/>
                <w:szCs w:val="28"/>
              </w:rPr>
            </w:pPr>
            <w:r>
              <w:rPr>
                <w:rFonts w:eastAsia="仿宋_GB2312"/>
                <w:kern w:val="0"/>
                <w:sz w:val="28"/>
                <w:szCs w:val="28"/>
              </w:rPr>
              <w:t>99.06%</w:t>
            </w:r>
          </w:p>
        </w:tc>
        <w:tc>
          <w:tcPr>
            <w:tcW w:w="197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90" w:lineRule="exact"/>
              <w:jc w:val="center"/>
              <w:rPr>
                <w:rFonts w:eastAsia="仿宋"/>
                <w:kern w:val="0"/>
                <w:sz w:val="28"/>
                <w:szCs w:val="20"/>
              </w:rPr>
            </w:pPr>
            <w:r>
              <w:rPr>
                <w:rFonts w:hint="eastAsia" w:eastAsia="仿宋"/>
                <w:kern w:val="0"/>
                <w:sz w:val="28"/>
                <w:szCs w:val="20"/>
              </w:rPr>
              <w:t>完成省下达目标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8"/>
                <w:szCs w:val="28"/>
              </w:rPr>
            </w:pP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90" w:lineRule="exact"/>
              <w:jc w:val="center"/>
              <w:rPr>
                <w:rFonts w:eastAsia="仿宋_GB2312"/>
                <w:kern w:val="0"/>
                <w:sz w:val="28"/>
                <w:szCs w:val="28"/>
              </w:rPr>
            </w:pPr>
            <w:r>
              <w:rPr>
                <w:rFonts w:hint="eastAsia" w:eastAsia="仿宋_GB2312"/>
                <w:kern w:val="0"/>
                <w:sz w:val="28"/>
                <w:szCs w:val="28"/>
              </w:rPr>
              <w:t>重点建设用地安全利用</w:t>
            </w:r>
            <w:r>
              <w:fldChar w:fldCharType="begin"/>
            </w:r>
            <w:r>
              <w:rPr>
                <w:rFonts w:eastAsia="仿宋_GB2312"/>
                <w:kern w:val="0"/>
                <w:sz w:val="28"/>
                <w:szCs w:val="28"/>
                <w:vertAlign w:val="superscript"/>
              </w:rPr>
              <w:instrText xml:space="preserve"> = 1 \* GB3 </w:instrText>
            </w:r>
            <w:r>
              <w:fldChar w:fldCharType="separate"/>
            </w:r>
            <w:r>
              <w:rPr>
                <w:rFonts w:hint="eastAsia" w:ascii="宋体" w:hAnsi="宋体" w:cs="宋体"/>
                <w:kern w:val="0"/>
                <w:sz w:val="28"/>
                <w:szCs w:val="28"/>
                <w:vertAlign w:val="superscript"/>
              </w:rPr>
              <w:t>①</w:t>
            </w:r>
            <w:r>
              <w:fldChar w:fldCharType="end"/>
            </w:r>
          </w:p>
        </w:tc>
        <w:tc>
          <w:tcPr>
            <w:tcW w:w="213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90" w:lineRule="exact"/>
              <w:jc w:val="center"/>
              <w:rPr>
                <w:rFonts w:eastAsia="仿宋_GB2312"/>
                <w:kern w:val="0"/>
                <w:sz w:val="28"/>
                <w:szCs w:val="28"/>
              </w:rPr>
            </w:pPr>
            <w:r>
              <w:rPr>
                <w:rFonts w:eastAsia="楷体_GB2312"/>
                <w:kern w:val="0"/>
                <w:szCs w:val="20"/>
              </w:rPr>
              <w:t>/</w:t>
            </w:r>
          </w:p>
        </w:tc>
        <w:tc>
          <w:tcPr>
            <w:tcW w:w="197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90" w:lineRule="exact"/>
              <w:jc w:val="center"/>
              <w:rPr>
                <w:rFonts w:eastAsia="仿宋_GB2312"/>
                <w:kern w:val="0"/>
                <w:sz w:val="28"/>
                <w:szCs w:val="28"/>
              </w:rPr>
            </w:pPr>
            <w:r>
              <w:rPr>
                <w:rFonts w:hint="eastAsia" w:eastAsia="仿宋_GB2312"/>
                <w:kern w:val="0"/>
                <w:sz w:val="28"/>
                <w:szCs w:val="28"/>
              </w:rPr>
              <w:t>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90" w:lineRule="exact"/>
              <w:jc w:val="center"/>
              <w:rPr>
                <w:rFonts w:eastAsia="仿宋_GB2312"/>
                <w:kern w:val="0"/>
                <w:sz w:val="28"/>
                <w:szCs w:val="28"/>
              </w:rPr>
            </w:pPr>
            <w:r>
              <w:rPr>
                <w:rFonts w:hint="eastAsia" w:eastAsia="仿宋_GB2312"/>
                <w:kern w:val="0"/>
                <w:sz w:val="28"/>
                <w:szCs w:val="28"/>
              </w:rPr>
              <w:t>地下水</w:t>
            </w: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90" w:lineRule="exact"/>
              <w:jc w:val="center"/>
              <w:rPr>
                <w:rFonts w:eastAsia="仿宋_GB2312"/>
                <w:kern w:val="0"/>
                <w:sz w:val="28"/>
                <w:szCs w:val="28"/>
              </w:rPr>
            </w:pPr>
            <w:r>
              <w:rPr>
                <w:rFonts w:hint="eastAsia" w:eastAsia="仿宋_GB2312"/>
                <w:kern w:val="0"/>
                <w:sz w:val="28"/>
                <w:szCs w:val="28"/>
              </w:rPr>
              <w:t>地下水国控区域点位</w:t>
            </w:r>
            <w:r>
              <w:rPr>
                <w:rFonts w:eastAsia="仿宋_GB2312"/>
                <w:kern w:val="0"/>
                <w:sz w:val="28"/>
                <w:szCs w:val="28"/>
              </w:rPr>
              <w:t>V</w:t>
            </w:r>
            <w:r>
              <w:rPr>
                <w:rFonts w:hint="eastAsia" w:eastAsia="仿宋_GB2312"/>
                <w:kern w:val="0"/>
                <w:sz w:val="28"/>
                <w:szCs w:val="28"/>
              </w:rPr>
              <w:t>类水比例</w:t>
            </w:r>
            <w:r>
              <w:fldChar w:fldCharType="begin"/>
            </w:r>
            <w:r>
              <w:rPr>
                <w:rFonts w:eastAsia="仿宋_GB2312"/>
                <w:kern w:val="0"/>
                <w:sz w:val="28"/>
                <w:szCs w:val="28"/>
                <w:vertAlign w:val="superscript"/>
              </w:rPr>
              <w:instrText xml:space="preserve"> = 2 \* GB3 </w:instrText>
            </w:r>
            <w:r>
              <w:fldChar w:fldCharType="separate"/>
            </w:r>
            <w:r>
              <w:rPr>
                <w:rFonts w:hint="eastAsia" w:eastAsia="仿宋_GB2312"/>
                <w:kern w:val="0"/>
                <w:sz w:val="28"/>
                <w:szCs w:val="28"/>
                <w:vertAlign w:val="superscript"/>
              </w:rPr>
              <w:t>②</w:t>
            </w:r>
            <w:r>
              <w:fldChar w:fldCharType="end"/>
            </w:r>
          </w:p>
        </w:tc>
        <w:tc>
          <w:tcPr>
            <w:tcW w:w="213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90" w:lineRule="exact"/>
              <w:jc w:val="center"/>
              <w:rPr>
                <w:rFonts w:eastAsia="仿宋_GB2312"/>
                <w:kern w:val="0"/>
                <w:sz w:val="28"/>
                <w:szCs w:val="28"/>
              </w:rPr>
            </w:pPr>
            <w:r>
              <w:rPr>
                <w:rFonts w:eastAsia="仿宋_GB2312"/>
                <w:kern w:val="0"/>
                <w:sz w:val="32"/>
                <w:szCs w:val="32"/>
              </w:rPr>
              <w:t>22.2%</w:t>
            </w:r>
          </w:p>
        </w:tc>
        <w:tc>
          <w:tcPr>
            <w:tcW w:w="197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90" w:lineRule="exact"/>
              <w:jc w:val="center"/>
              <w:rPr>
                <w:rFonts w:eastAsia="仿宋"/>
                <w:kern w:val="0"/>
                <w:sz w:val="28"/>
                <w:szCs w:val="20"/>
              </w:rPr>
            </w:pPr>
            <w:r>
              <w:rPr>
                <w:rFonts w:hint="eastAsia" w:eastAsia="仿宋"/>
                <w:kern w:val="0"/>
                <w:sz w:val="28"/>
                <w:szCs w:val="20"/>
              </w:rPr>
              <w:t>完成省下达目标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8"/>
                <w:szCs w:val="28"/>
              </w:rPr>
            </w:pP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90" w:lineRule="exact"/>
              <w:jc w:val="center"/>
              <w:rPr>
                <w:rFonts w:eastAsia="仿宋_GB2312"/>
                <w:kern w:val="0"/>
                <w:sz w:val="28"/>
                <w:szCs w:val="28"/>
              </w:rPr>
            </w:pPr>
            <w:r>
              <w:rPr>
                <w:rFonts w:eastAsia="仿宋_GB2312"/>
                <w:kern w:val="0"/>
                <w:sz w:val="28"/>
                <w:szCs w:val="28"/>
              </w:rPr>
              <w:t>“</w:t>
            </w:r>
            <w:r>
              <w:rPr>
                <w:rFonts w:hint="eastAsia" w:eastAsia="仿宋_GB2312"/>
                <w:kern w:val="0"/>
                <w:sz w:val="28"/>
                <w:szCs w:val="28"/>
              </w:rPr>
              <w:t>双源</w:t>
            </w:r>
            <w:r>
              <w:rPr>
                <w:rFonts w:eastAsia="仿宋_GB2312"/>
                <w:kern w:val="0"/>
                <w:sz w:val="28"/>
                <w:szCs w:val="28"/>
              </w:rPr>
              <w:t>”</w:t>
            </w:r>
            <w:r>
              <w:rPr>
                <w:rFonts w:hint="eastAsia" w:eastAsia="仿宋_GB2312"/>
                <w:kern w:val="0"/>
                <w:sz w:val="28"/>
                <w:szCs w:val="28"/>
              </w:rPr>
              <w:t>点位水质</w:t>
            </w:r>
            <w:r>
              <w:fldChar w:fldCharType="begin"/>
            </w:r>
            <w:r>
              <w:rPr>
                <w:rFonts w:eastAsia="仿宋_GB2312"/>
                <w:kern w:val="0"/>
                <w:sz w:val="28"/>
                <w:szCs w:val="28"/>
                <w:vertAlign w:val="superscript"/>
              </w:rPr>
              <w:instrText xml:space="preserve"> = 3 \* GB3 </w:instrText>
            </w:r>
            <w:r>
              <w:fldChar w:fldCharType="separate"/>
            </w:r>
            <w:r>
              <w:rPr>
                <w:rFonts w:hint="eastAsia" w:eastAsia="仿宋_GB2312"/>
                <w:kern w:val="0"/>
                <w:sz w:val="28"/>
                <w:szCs w:val="28"/>
                <w:vertAlign w:val="superscript"/>
              </w:rPr>
              <w:t>③</w:t>
            </w:r>
            <w:r>
              <w:fldChar w:fldCharType="end"/>
            </w:r>
          </w:p>
        </w:tc>
        <w:tc>
          <w:tcPr>
            <w:tcW w:w="213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90" w:lineRule="exact"/>
              <w:jc w:val="center"/>
              <w:rPr>
                <w:rFonts w:eastAsia="仿宋_GB2312"/>
                <w:kern w:val="0"/>
                <w:sz w:val="28"/>
                <w:szCs w:val="28"/>
              </w:rPr>
            </w:pPr>
            <w:r>
              <w:rPr>
                <w:rFonts w:eastAsia="楷体_GB2312"/>
                <w:kern w:val="0"/>
                <w:szCs w:val="20"/>
              </w:rPr>
              <w:t>/</w:t>
            </w:r>
          </w:p>
        </w:tc>
        <w:tc>
          <w:tcPr>
            <w:tcW w:w="197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90" w:lineRule="exact"/>
              <w:jc w:val="center"/>
              <w:rPr>
                <w:rFonts w:eastAsia="仿宋_GB2312"/>
                <w:kern w:val="0"/>
                <w:sz w:val="28"/>
                <w:szCs w:val="28"/>
              </w:rPr>
            </w:pPr>
            <w:r>
              <w:rPr>
                <w:rFonts w:hint="eastAsia" w:eastAsia="仿宋_GB2312"/>
                <w:kern w:val="0"/>
                <w:sz w:val="28"/>
                <w:szCs w:val="28"/>
              </w:rPr>
              <w:t>总体保持稳定</w:t>
            </w:r>
          </w:p>
        </w:tc>
      </w:tr>
    </w:tbl>
    <w:p>
      <w:pPr>
        <w:widowControl/>
        <w:adjustRightInd w:val="0"/>
        <w:snapToGrid w:val="0"/>
        <w:spacing w:line="440" w:lineRule="exact"/>
        <w:jc w:val="left"/>
        <w:rPr>
          <w:rFonts w:eastAsia="仿宋_GB2312"/>
          <w:kern w:val="0"/>
          <w:sz w:val="24"/>
        </w:rPr>
      </w:pPr>
      <w:r>
        <w:rPr>
          <w:rFonts w:hint="eastAsia" w:eastAsia="仿宋_GB2312"/>
          <w:kern w:val="0"/>
          <w:sz w:val="24"/>
        </w:rPr>
        <w:t>注：</w:t>
      </w:r>
      <w:r>
        <w:fldChar w:fldCharType="begin"/>
      </w:r>
      <w:r>
        <w:rPr>
          <w:rFonts w:eastAsia="仿宋_GB2312"/>
          <w:kern w:val="0"/>
          <w:sz w:val="24"/>
        </w:rPr>
        <w:instrText xml:space="preserve"> = 1 \* GB3 </w:instrText>
      </w:r>
      <w:r>
        <w:fldChar w:fldCharType="separate"/>
      </w:r>
      <w:r>
        <w:rPr>
          <w:rFonts w:hint="eastAsia" w:eastAsia="仿宋_GB2312"/>
          <w:kern w:val="0"/>
          <w:sz w:val="24"/>
        </w:rPr>
        <w:t>①</w:t>
      </w:r>
      <w:r>
        <w:fldChar w:fldCharType="end"/>
      </w:r>
      <w:r>
        <w:rPr>
          <w:rFonts w:hint="eastAsia" w:eastAsia="仿宋_GB2312"/>
          <w:kern w:val="0"/>
          <w:sz w:val="24"/>
        </w:rPr>
        <w:t>重点建设用地指用途变更为住宅、公共管理与公共服务用地的所有地块。</w:t>
      </w:r>
    </w:p>
    <w:p>
      <w:pPr>
        <w:pStyle w:val="11"/>
        <w:adjustRightInd w:val="0"/>
        <w:snapToGrid w:val="0"/>
        <w:spacing w:line="440" w:lineRule="exact"/>
        <w:rPr>
          <w:rFonts w:eastAsia="仿宋_GB2312"/>
          <w:sz w:val="24"/>
        </w:rPr>
      </w:pPr>
      <w:r>
        <w:fldChar w:fldCharType="begin"/>
      </w:r>
      <w:r>
        <w:rPr>
          <w:rFonts w:eastAsia="仿宋_GB2312"/>
          <w:sz w:val="24"/>
        </w:rPr>
        <w:instrText xml:space="preserve"> = 2 \* GB3 </w:instrText>
      </w:r>
      <w:r>
        <w:fldChar w:fldCharType="separate"/>
      </w:r>
      <w:r>
        <w:rPr>
          <w:rFonts w:hint="eastAsia" w:eastAsia="仿宋_GB2312"/>
          <w:sz w:val="24"/>
        </w:rPr>
        <w:t>②</w:t>
      </w:r>
      <w:r>
        <w:fldChar w:fldCharType="end"/>
      </w:r>
      <w:r>
        <w:rPr>
          <w:rFonts w:eastAsia="仿宋_GB2312"/>
          <w:sz w:val="24"/>
        </w:rPr>
        <w:t xml:space="preserve"> </w:t>
      </w:r>
      <w:r>
        <w:rPr>
          <w:rFonts w:hint="eastAsia" w:eastAsia="仿宋_GB2312"/>
          <w:sz w:val="24"/>
        </w:rPr>
        <w:t>地下水国控区域点位</w:t>
      </w:r>
      <w:r>
        <w:rPr>
          <w:rFonts w:eastAsia="仿宋_GB2312"/>
          <w:sz w:val="24"/>
        </w:rPr>
        <w:t>V</w:t>
      </w:r>
      <w:r>
        <w:rPr>
          <w:rFonts w:hint="eastAsia" w:eastAsia="仿宋_GB2312"/>
          <w:sz w:val="24"/>
        </w:rPr>
        <w:t>类水比例指国家级地下水质区域监测点位中，水质为</w:t>
      </w:r>
      <w:r>
        <w:rPr>
          <w:rFonts w:eastAsia="仿宋_GB2312"/>
          <w:sz w:val="24"/>
        </w:rPr>
        <w:t>V</w:t>
      </w:r>
      <w:r>
        <w:rPr>
          <w:rFonts w:hint="eastAsia" w:eastAsia="仿宋_GB2312"/>
          <w:sz w:val="24"/>
        </w:rPr>
        <w:t>类的点位所占的比例。</w:t>
      </w:r>
    </w:p>
    <w:p>
      <w:pPr>
        <w:pStyle w:val="11"/>
        <w:adjustRightInd w:val="0"/>
        <w:snapToGrid w:val="0"/>
        <w:spacing w:line="440" w:lineRule="exact"/>
        <w:ind w:firstLine="480"/>
        <w:rPr>
          <w:rFonts w:eastAsia="仿宋_GB2312"/>
          <w:sz w:val="24"/>
        </w:rPr>
      </w:pPr>
      <w:r>
        <w:rPr>
          <w:rFonts w:hint="eastAsia" w:eastAsia="仿宋_GB2312"/>
          <w:sz w:val="24"/>
        </w:rPr>
        <w:t>③“双源”点位水质指地下水型饮用水水源地和重点污染源周边地下水质量状况。</w:t>
      </w:r>
    </w:p>
    <w:bookmarkEnd w:id="1"/>
    <w:bookmarkEnd w:id="95"/>
    <w:bookmarkEnd w:id="96"/>
    <w:bookmarkEnd w:id="97"/>
    <w:p>
      <w:pPr>
        <w:pStyle w:val="2"/>
        <w:widowControl w:val="0"/>
        <w:snapToGrid w:val="0"/>
        <w:spacing w:before="0" w:after="0" w:line="590" w:lineRule="exact"/>
        <w:ind w:firstLine="640" w:firstLineChars="200"/>
        <w:jc w:val="both"/>
        <w:rPr>
          <w:rFonts w:eastAsia="黑体"/>
          <w:b w:val="0"/>
          <w:bCs w:val="0"/>
          <w:szCs w:val="32"/>
        </w:rPr>
      </w:pPr>
      <w:bookmarkStart w:id="99" w:name="_Toc91857587"/>
      <w:bookmarkStart w:id="100" w:name="_Toc71731574"/>
      <w:bookmarkStart w:id="101" w:name="_Toc5800"/>
      <w:bookmarkStart w:id="102" w:name="_Toc31566"/>
      <w:bookmarkStart w:id="103" w:name="_Toc31518"/>
      <w:bookmarkStart w:id="104" w:name="_Toc103710420"/>
      <w:bookmarkStart w:id="105" w:name="_Toc76741401"/>
      <w:bookmarkStart w:id="106" w:name="_Toc68197150"/>
      <w:bookmarkStart w:id="107" w:name="_Toc6572"/>
      <w:bookmarkStart w:id="108" w:name="_Toc21138"/>
      <w:bookmarkStart w:id="109" w:name="_Toc72534738"/>
      <w:bookmarkStart w:id="110" w:name="_Toc72621545"/>
      <w:bookmarkStart w:id="111" w:name="_Toc90311703"/>
      <w:r>
        <w:rPr>
          <w:rFonts w:hint="eastAsia" w:eastAsia="黑体"/>
          <w:b w:val="0"/>
          <w:bCs w:val="0"/>
          <w:szCs w:val="32"/>
        </w:rPr>
        <w:t>三、主要任务</w:t>
      </w:r>
      <w:bookmarkEnd w:id="99"/>
      <w:bookmarkEnd w:id="100"/>
      <w:bookmarkEnd w:id="101"/>
      <w:bookmarkEnd w:id="102"/>
      <w:bookmarkEnd w:id="103"/>
      <w:bookmarkEnd w:id="104"/>
      <w:bookmarkEnd w:id="105"/>
      <w:bookmarkEnd w:id="106"/>
      <w:bookmarkEnd w:id="107"/>
      <w:bookmarkEnd w:id="108"/>
      <w:bookmarkEnd w:id="109"/>
      <w:bookmarkEnd w:id="110"/>
      <w:bookmarkEnd w:id="111"/>
    </w:p>
    <w:p>
      <w:pPr>
        <w:pStyle w:val="3"/>
        <w:widowControl w:val="0"/>
        <w:snapToGrid w:val="0"/>
        <w:spacing w:before="0" w:after="0" w:line="590" w:lineRule="exact"/>
        <w:ind w:firstLine="643" w:firstLineChars="200"/>
        <w:jc w:val="both"/>
        <w:rPr>
          <w:rFonts w:ascii="Times New Roman" w:hAnsi="Times New Roman" w:eastAsia="楷体_GB2312" w:cs="Times New Roman"/>
          <w:sz w:val="32"/>
        </w:rPr>
      </w:pPr>
      <w:bookmarkStart w:id="112" w:name="_Toc68197151"/>
      <w:bookmarkStart w:id="113" w:name="_Toc72534739"/>
      <w:bookmarkStart w:id="114" w:name="_Toc72621546"/>
      <w:bookmarkStart w:id="115" w:name="_Toc25509"/>
      <w:bookmarkStart w:id="116" w:name="_Toc71731575"/>
      <w:bookmarkStart w:id="117" w:name="_Toc18899"/>
      <w:bookmarkStart w:id="118" w:name="_Toc10283"/>
      <w:bookmarkStart w:id="119" w:name="_Toc91857588"/>
      <w:bookmarkStart w:id="120" w:name="_Toc90311704"/>
      <w:bookmarkStart w:id="121" w:name="_Toc76741402"/>
      <w:bookmarkStart w:id="122" w:name="_Toc103710421"/>
      <w:bookmarkStart w:id="123" w:name="_Toc19257"/>
      <w:bookmarkStart w:id="124" w:name="_Toc10996"/>
      <w:r>
        <w:rPr>
          <w:rFonts w:hint="eastAsia" w:ascii="Times New Roman" w:hAnsi="Times New Roman" w:eastAsia="楷体_GB2312"/>
          <w:sz w:val="32"/>
        </w:rPr>
        <w:t>（一）加强土壤</w:t>
      </w:r>
      <w:bookmarkEnd w:id="112"/>
      <w:bookmarkEnd w:id="113"/>
      <w:bookmarkEnd w:id="114"/>
      <w:bookmarkEnd w:id="115"/>
      <w:bookmarkEnd w:id="116"/>
      <w:bookmarkStart w:id="125" w:name="_Toc68197152"/>
      <w:r>
        <w:rPr>
          <w:rFonts w:hint="eastAsia" w:ascii="Times New Roman" w:hAnsi="Times New Roman" w:eastAsia="楷体_GB2312"/>
          <w:sz w:val="32"/>
        </w:rPr>
        <w:t>污染风险管控</w:t>
      </w:r>
      <w:bookmarkEnd w:id="117"/>
      <w:bookmarkEnd w:id="118"/>
      <w:bookmarkEnd w:id="119"/>
      <w:bookmarkEnd w:id="120"/>
      <w:bookmarkEnd w:id="121"/>
      <w:bookmarkEnd w:id="122"/>
      <w:bookmarkEnd w:id="123"/>
      <w:bookmarkEnd w:id="124"/>
    </w:p>
    <w:p>
      <w:pPr>
        <w:widowControl/>
        <w:snapToGrid w:val="0"/>
        <w:spacing w:line="590" w:lineRule="exact"/>
        <w:ind w:firstLine="643" w:firstLineChars="200"/>
        <w:outlineLvl w:val="2"/>
        <w:rPr>
          <w:rFonts w:eastAsia="仿宋_GB2312"/>
          <w:b/>
          <w:bCs/>
          <w:kern w:val="0"/>
          <w:sz w:val="32"/>
          <w:szCs w:val="32"/>
        </w:rPr>
      </w:pPr>
      <w:bookmarkStart w:id="126" w:name="_Toc25000"/>
      <w:bookmarkStart w:id="127" w:name="_Toc103710422"/>
      <w:bookmarkStart w:id="128" w:name="_Toc90311705"/>
      <w:bookmarkStart w:id="129" w:name="_Toc1972"/>
      <w:bookmarkStart w:id="130" w:name="_Toc72534740"/>
      <w:bookmarkStart w:id="131" w:name="_Toc29859"/>
      <w:bookmarkStart w:id="132" w:name="_Toc11644"/>
      <w:bookmarkStart w:id="133" w:name="_Toc76741403"/>
      <w:bookmarkStart w:id="134" w:name="_Toc71731576"/>
      <w:bookmarkStart w:id="135" w:name="_Toc72621547"/>
      <w:bookmarkStart w:id="136" w:name="_Toc25557"/>
      <w:bookmarkStart w:id="137" w:name="_Toc91857589"/>
      <w:r>
        <w:rPr>
          <w:rFonts w:eastAsia="仿宋_GB2312"/>
          <w:b/>
          <w:bCs/>
          <w:kern w:val="0"/>
          <w:sz w:val="32"/>
          <w:szCs w:val="32"/>
        </w:rPr>
        <w:t>1.</w:t>
      </w:r>
      <w:r>
        <w:rPr>
          <w:rFonts w:hint="eastAsia" w:eastAsia="仿宋_GB2312"/>
          <w:b/>
          <w:bCs/>
          <w:kern w:val="0"/>
          <w:sz w:val="32"/>
          <w:szCs w:val="32"/>
        </w:rPr>
        <w:t>进一步摸清土壤环境质量状况</w:t>
      </w:r>
      <w:bookmarkEnd w:id="126"/>
      <w:bookmarkEnd w:id="127"/>
      <w:bookmarkEnd w:id="128"/>
      <w:bookmarkEnd w:id="129"/>
      <w:bookmarkEnd w:id="130"/>
      <w:bookmarkEnd w:id="131"/>
      <w:bookmarkEnd w:id="132"/>
      <w:bookmarkEnd w:id="133"/>
      <w:bookmarkEnd w:id="134"/>
      <w:bookmarkEnd w:id="135"/>
      <w:bookmarkEnd w:id="136"/>
      <w:bookmarkEnd w:id="137"/>
    </w:p>
    <w:p>
      <w:pPr>
        <w:widowControl/>
        <w:adjustRightInd w:val="0"/>
        <w:snapToGrid w:val="0"/>
        <w:spacing w:line="590" w:lineRule="exact"/>
        <w:ind w:firstLine="643" w:firstLineChars="200"/>
        <w:rPr>
          <w:rFonts w:eastAsia="楷体_GB2312"/>
          <w:kern w:val="0"/>
          <w:sz w:val="32"/>
          <w:szCs w:val="32"/>
        </w:rPr>
      </w:pPr>
      <w:r>
        <w:rPr>
          <w:rFonts w:hint="eastAsia" w:eastAsia="仿宋_GB2312"/>
          <w:b/>
          <w:bCs/>
          <w:kern w:val="0"/>
          <w:sz w:val="32"/>
          <w:szCs w:val="32"/>
        </w:rPr>
        <w:t>开展土壤环境状况调查。</w:t>
      </w:r>
      <w:r>
        <w:rPr>
          <w:rFonts w:eastAsia="仿宋_GB2312"/>
          <w:kern w:val="0"/>
          <w:sz w:val="32"/>
          <w:szCs w:val="32"/>
        </w:rPr>
        <w:t>2022</w:t>
      </w:r>
      <w:r>
        <w:rPr>
          <w:rFonts w:hint="eastAsia" w:eastAsia="仿宋_GB2312"/>
          <w:kern w:val="0"/>
          <w:sz w:val="32"/>
          <w:szCs w:val="32"/>
        </w:rPr>
        <w:t>年起，以水稻、蔬菜等食用农产品的受污染耕地为重点，配合省开展农产品加密调查。按照省的部署，配合开展典型行业企业用地及周边土壤污染状况调查。开展全市林地土壤调查，并配合建立广东省林地土壤信息库。</w:t>
      </w:r>
    </w:p>
    <w:p>
      <w:pPr>
        <w:widowControl/>
        <w:snapToGrid w:val="0"/>
        <w:spacing w:line="590" w:lineRule="exact"/>
        <w:ind w:firstLine="643" w:firstLineChars="200"/>
        <w:rPr>
          <w:rFonts w:eastAsia="楷体_GB2312"/>
          <w:kern w:val="0"/>
          <w:sz w:val="32"/>
          <w:szCs w:val="32"/>
        </w:rPr>
      </w:pPr>
      <w:r>
        <w:rPr>
          <w:rFonts w:hint="eastAsia" w:eastAsia="仿宋_GB2312"/>
          <w:b/>
          <w:bCs/>
          <w:kern w:val="0"/>
          <w:sz w:val="32"/>
          <w:szCs w:val="32"/>
        </w:rPr>
        <w:t>开展耕地土壤污染源排查整治。</w:t>
      </w:r>
      <w:r>
        <w:rPr>
          <w:rFonts w:eastAsia="仿宋_GB2312"/>
          <w:kern w:val="0"/>
          <w:sz w:val="32"/>
          <w:szCs w:val="32"/>
        </w:rPr>
        <w:t>2022</w:t>
      </w:r>
      <w:r>
        <w:rPr>
          <w:rFonts w:hint="eastAsia" w:eastAsia="仿宋_GB2312"/>
          <w:kern w:val="0"/>
          <w:sz w:val="32"/>
          <w:szCs w:val="32"/>
        </w:rPr>
        <w:t>年起，按照国家和省的统一部署，选择典型区域开展耕地土壤镉污染成因分析。对已查明污染源的，有关区要制定控源（断源）工作计划并实施。</w:t>
      </w:r>
    </w:p>
    <w:p>
      <w:pPr>
        <w:pStyle w:val="11"/>
        <w:adjustRightInd w:val="0"/>
        <w:snapToGrid w:val="0"/>
        <w:spacing w:line="590" w:lineRule="exact"/>
        <w:ind w:left="0" w:leftChars="0" w:firstLine="643"/>
      </w:pPr>
      <w:r>
        <w:rPr>
          <w:rFonts w:hint="eastAsia" w:eastAsia="仿宋_GB2312"/>
          <w:b/>
          <w:bCs/>
          <w:sz w:val="32"/>
          <w:szCs w:val="32"/>
        </w:rPr>
        <w:t>开展镉等重金属污染防治管控成效评估。</w:t>
      </w:r>
      <w:r>
        <w:rPr>
          <w:rFonts w:hint="eastAsia" w:eastAsia="仿宋_GB2312"/>
          <w:sz w:val="32"/>
          <w:szCs w:val="32"/>
        </w:rPr>
        <w:t>按照省的部署，以土壤重金属污染问题较突出和较集中的区域为重点，对影响土壤环境质量的输入输出因素开展监测。</w:t>
      </w:r>
    </w:p>
    <w:p>
      <w:pPr>
        <w:widowControl/>
        <w:snapToGrid w:val="0"/>
        <w:spacing w:line="590" w:lineRule="exact"/>
        <w:ind w:firstLine="643" w:firstLineChars="200"/>
        <w:outlineLvl w:val="2"/>
        <w:rPr>
          <w:rFonts w:eastAsia="仿宋_GB2312"/>
          <w:b/>
          <w:bCs/>
          <w:kern w:val="0"/>
          <w:sz w:val="32"/>
          <w:szCs w:val="32"/>
        </w:rPr>
      </w:pPr>
      <w:bookmarkStart w:id="138" w:name="_Toc90311706"/>
      <w:bookmarkStart w:id="139" w:name="_Toc91857590"/>
      <w:bookmarkStart w:id="140" w:name="_Toc72534741"/>
      <w:bookmarkStart w:id="141" w:name="_Toc76741404"/>
      <w:bookmarkStart w:id="142" w:name="_Toc8783"/>
      <w:bookmarkStart w:id="143" w:name="_Toc71731577"/>
      <w:bookmarkStart w:id="144" w:name="_Toc72621548"/>
      <w:bookmarkStart w:id="145" w:name="_Toc5401"/>
      <w:bookmarkStart w:id="146" w:name="_Toc3058"/>
      <w:bookmarkStart w:id="147" w:name="_Toc29592"/>
      <w:bookmarkStart w:id="148" w:name="_Toc5196"/>
      <w:bookmarkStart w:id="149" w:name="_Toc103710423"/>
      <w:r>
        <w:rPr>
          <w:rFonts w:eastAsia="仿宋_GB2312"/>
          <w:b/>
          <w:bCs/>
          <w:kern w:val="0"/>
          <w:sz w:val="32"/>
          <w:szCs w:val="32"/>
        </w:rPr>
        <w:t>2.</w:t>
      </w:r>
      <w:r>
        <w:rPr>
          <w:rFonts w:hint="eastAsia" w:eastAsia="仿宋_GB2312"/>
          <w:b/>
          <w:bCs/>
          <w:kern w:val="0"/>
          <w:sz w:val="32"/>
          <w:szCs w:val="32"/>
        </w:rPr>
        <w:t>持续推进土壤污染源头</w:t>
      </w:r>
      <w:bookmarkEnd w:id="138"/>
      <w:bookmarkEnd w:id="139"/>
      <w:bookmarkEnd w:id="140"/>
      <w:bookmarkEnd w:id="141"/>
      <w:bookmarkEnd w:id="142"/>
      <w:bookmarkEnd w:id="143"/>
      <w:bookmarkEnd w:id="144"/>
      <w:bookmarkEnd w:id="145"/>
      <w:bookmarkEnd w:id="146"/>
      <w:r>
        <w:rPr>
          <w:rFonts w:hint="eastAsia" w:eastAsia="仿宋_GB2312"/>
          <w:b/>
          <w:bCs/>
          <w:kern w:val="0"/>
          <w:sz w:val="32"/>
          <w:szCs w:val="32"/>
        </w:rPr>
        <w:t>防控</w:t>
      </w:r>
      <w:bookmarkEnd w:id="147"/>
      <w:bookmarkEnd w:id="148"/>
      <w:bookmarkEnd w:id="149"/>
    </w:p>
    <w:p>
      <w:pPr>
        <w:pStyle w:val="11"/>
        <w:adjustRightInd w:val="0"/>
        <w:snapToGrid w:val="0"/>
        <w:spacing w:after="0" w:line="590" w:lineRule="exact"/>
        <w:ind w:left="0" w:leftChars="0" w:firstLine="643"/>
        <w:rPr>
          <w:rFonts w:eastAsia="楷体_GB2312"/>
          <w:sz w:val="32"/>
          <w:szCs w:val="32"/>
        </w:rPr>
      </w:pPr>
      <w:bookmarkStart w:id="150" w:name="_Hlk89873142"/>
      <w:r>
        <w:rPr>
          <w:rFonts w:hint="eastAsia" w:eastAsia="仿宋_GB2312"/>
          <w:b/>
          <w:bCs/>
          <w:sz w:val="32"/>
          <w:szCs w:val="32"/>
        </w:rPr>
        <w:t>强化空间布局管控。</w:t>
      </w:r>
      <w:r>
        <w:rPr>
          <w:rFonts w:hint="eastAsia" w:eastAsia="仿宋_GB2312"/>
          <w:sz w:val="32"/>
          <w:szCs w:val="32"/>
        </w:rPr>
        <w:t>严格落实“三线一单”生态环境分区管控硬约束，加强多规融合，强化规划区划和建设项目布局论证，合理确定区域功能定位、空间布局，引导重点产业向环境容量充足区域布局。推动淘汰落后产能，逐步淘汰污染严重的涉重金属、涉有机物的行业企业。推动工业项目入园集聚发展，因地制宜推动金属制品业、化学原料和化学制品制造业等行业企业入园集中管理。</w:t>
      </w:r>
    </w:p>
    <w:p>
      <w:pPr>
        <w:widowControl/>
        <w:snapToGrid w:val="0"/>
        <w:spacing w:line="590" w:lineRule="exact"/>
        <w:ind w:firstLine="643" w:firstLineChars="200"/>
        <w:jc w:val="left"/>
        <w:rPr>
          <w:rFonts w:eastAsia="仿宋"/>
          <w:b/>
          <w:bCs/>
          <w:kern w:val="0"/>
          <w:sz w:val="32"/>
          <w:szCs w:val="21"/>
        </w:rPr>
      </w:pPr>
      <w:r>
        <w:rPr>
          <w:rFonts w:hint="eastAsia" w:eastAsia="仿宋_GB2312"/>
          <w:b/>
          <w:bCs/>
          <w:kern w:val="0"/>
          <w:sz w:val="32"/>
          <w:szCs w:val="32"/>
        </w:rPr>
        <w:t>严守环境准入底线。</w:t>
      </w:r>
      <w:r>
        <w:rPr>
          <w:rFonts w:hint="eastAsia" w:eastAsia="仿宋_GB2312"/>
          <w:kern w:val="0"/>
          <w:sz w:val="32"/>
          <w:szCs w:val="32"/>
        </w:rPr>
        <w:t>在永久基本农田集中区域以及居民区、学校、医疗和养老机构等单位周边，避免新建重金属、多环芳烃类等持久性有机污染物企业。结合新型城镇化、产业结构调整和化解过剩产能等，有序搬迁或依法关闭对土壤造成污染的现有企业。</w:t>
      </w:r>
    </w:p>
    <w:p>
      <w:pPr>
        <w:widowControl/>
        <w:adjustRightInd w:val="0"/>
        <w:snapToGrid w:val="0"/>
        <w:spacing w:line="590" w:lineRule="exact"/>
        <w:ind w:firstLine="643" w:firstLineChars="200"/>
        <w:rPr>
          <w:rFonts w:eastAsia="仿宋"/>
          <w:b/>
          <w:kern w:val="0"/>
          <w:sz w:val="32"/>
          <w:szCs w:val="20"/>
        </w:rPr>
      </w:pPr>
      <w:r>
        <w:rPr>
          <w:rFonts w:hint="eastAsia" w:eastAsia="仿宋_GB2312"/>
          <w:b/>
          <w:bCs/>
          <w:kern w:val="0"/>
          <w:sz w:val="32"/>
          <w:szCs w:val="32"/>
        </w:rPr>
        <w:t>落实现状调查与环境影响评价。</w:t>
      </w:r>
      <w:r>
        <w:rPr>
          <w:rFonts w:hint="eastAsia" w:eastAsia="仿宋_GB2312"/>
          <w:kern w:val="0"/>
          <w:sz w:val="32"/>
          <w:szCs w:val="32"/>
        </w:rPr>
        <w:t>涉及有毒有害物质的新（改、扩）建项目，依法依规开展土壤、地下水环境现状调查及环境影响评价，科学布局生产与污染治理设施，安装使用有关防腐蚀、防泄漏设施和监测装置。</w:t>
      </w:r>
    </w:p>
    <w:p>
      <w:pPr>
        <w:widowControl/>
        <w:snapToGrid w:val="0"/>
        <w:spacing w:line="590" w:lineRule="exact"/>
        <w:ind w:firstLine="643" w:firstLineChars="200"/>
        <w:rPr>
          <w:rFonts w:eastAsia="仿宋"/>
          <w:b/>
          <w:bCs/>
          <w:kern w:val="0"/>
          <w:sz w:val="32"/>
          <w:szCs w:val="32"/>
        </w:rPr>
      </w:pPr>
      <w:r>
        <w:rPr>
          <w:rFonts w:hint="eastAsia" w:eastAsia="仿宋_GB2312"/>
          <w:b/>
          <w:bCs/>
          <w:kern w:val="0"/>
          <w:sz w:val="32"/>
          <w:szCs w:val="32"/>
        </w:rPr>
        <w:t>加强涉重金属行业污染防控。</w:t>
      </w:r>
      <w:bookmarkEnd w:id="150"/>
      <w:r>
        <w:rPr>
          <w:rFonts w:hint="eastAsia" w:eastAsia="仿宋_GB2312"/>
          <w:kern w:val="0"/>
          <w:sz w:val="32"/>
          <w:szCs w:val="32"/>
        </w:rPr>
        <w:t>以涉重金属无机化合物工业等重点行业为重点，鼓励企业提标改造，进一步减少污染物排放。</w:t>
      </w:r>
      <w:bookmarkStart w:id="151" w:name="_Hlk104801009"/>
      <w:r>
        <w:rPr>
          <w:rFonts w:hint="eastAsia" w:eastAsia="仿宋_GB2312"/>
          <w:kern w:val="0"/>
          <w:sz w:val="32"/>
          <w:szCs w:val="32"/>
        </w:rPr>
        <w:t>按省的统一工作部署，在矿产资源开发集中区域以及安全利用类和严格管控类耕地任务较重区域，涉重金属污染物排放企业执行颗粒物和镉等重点重金属特别排放限值。</w:t>
      </w:r>
      <w:bookmarkEnd w:id="151"/>
      <w:r>
        <w:rPr>
          <w:rFonts w:eastAsia="仿宋_GB2312"/>
          <w:kern w:val="0"/>
          <w:sz w:val="32"/>
          <w:szCs w:val="32"/>
        </w:rPr>
        <w:t>2022</w:t>
      </w:r>
      <w:r>
        <w:rPr>
          <w:rFonts w:hint="eastAsia" w:eastAsia="仿宋_GB2312"/>
          <w:kern w:val="0"/>
          <w:sz w:val="32"/>
          <w:szCs w:val="32"/>
        </w:rPr>
        <w:t>年底前，依据有关规定将符合筛选条件的排放镉、汞、砷、铅、铬等有毒有害大气、水环境污染物的企业纳入重点排污单位名录；</w:t>
      </w:r>
      <w:r>
        <w:rPr>
          <w:rFonts w:eastAsia="仿宋_GB2312"/>
          <w:kern w:val="0"/>
          <w:sz w:val="32"/>
          <w:szCs w:val="32"/>
        </w:rPr>
        <w:t>2023</w:t>
      </w:r>
      <w:r>
        <w:rPr>
          <w:rFonts w:hint="eastAsia" w:eastAsia="仿宋_GB2312"/>
          <w:kern w:val="0"/>
          <w:sz w:val="32"/>
          <w:szCs w:val="32"/>
        </w:rPr>
        <w:t>年底前，纳入大气环境重点排污单位名录的涉镉等重金属排放企业，对大气污染物中的颗粒物按排污许可规定实现自动监测，并与生态环境部门的监控设备联网；以监测数据核算颗粒物、重金属等排放量。深化涉镉等重点行业企业污染源排查整治，更新污染源排查整治清单，督促责任主体制定并落实整治方案。</w:t>
      </w:r>
    </w:p>
    <w:p>
      <w:pPr>
        <w:widowControl/>
        <w:snapToGrid w:val="0"/>
        <w:spacing w:line="590" w:lineRule="exact"/>
        <w:ind w:firstLine="643" w:firstLineChars="200"/>
        <w:rPr>
          <w:rFonts w:eastAsia="楷体_GB2312"/>
          <w:kern w:val="0"/>
          <w:sz w:val="32"/>
          <w:szCs w:val="32"/>
        </w:rPr>
      </w:pPr>
      <w:r>
        <w:rPr>
          <w:rFonts w:hint="eastAsia" w:eastAsia="仿宋_GB2312"/>
          <w:b/>
          <w:bCs/>
          <w:kern w:val="0"/>
          <w:sz w:val="32"/>
          <w:szCs w:val="32"/>
        </w:rPr>
        <w:t>强化土壤污染重点监管单位监管。</w:t>
      </w:r>
      <w:r>
        <w:rPr>
          <w:rFonts w:hint="eastAsia" w:eastAsia="仿宋_GB2312"/>
          <w:kern w:val="0"/>
          <w:sz w:val="32"/>
          <w:szCs w:val="32"/>
        </w:rPr>
        <w:t>根据重点行业企业用地调查、典型行业有毒有害物质排放等情况，完善土壤污染重点监管单位筛选原则，动态更新重点监管单位名录。根据国家和省的管理制度，指导督促土壤污染重点监管单位落实自行监测、隐患排查等相关污染防治义务。定期开展土壤污染重点监管单位周边土壤环境状况监测。鼓励重点监管单位因地制宜实施管道化、密闭化改造，重点区域防腐防渗改造，以及物料、污水、废气管线架空建设和改造，从源头上减少土壤污染。按省的部署，探索土壤污染重点监管单位分级分类管理。</w:t>
      </w:r>
    </w:p>
    <w:p>
      <w:pPr>
        <w:widowControl/>
        <w:spacing w:line="590" w:lineRule="exact"/>
        <w:ind w:firstLine="643" w:firstLineChars="200"/>
        <w:jc w:val="left"/>
        <w:rPr>
          <w:rFonts w:eastAsia="仿宋_GB2312"/>
          <w:b/>
          <w:bCs/>
          <w:kern w:val="0"/>
          <w:sz w:val="32"/>
          <w:szCs w:val="32"/>
        </w:rPr>
      </w:pPr>
      <w:r>
        <w:rPr>
          <w:rFonts w:hint="eastAsia" w:eastAsia="仿宋_GB2312"/>
          <w:b/>
          <w:bCs/>
          <w:kern w:val="0"/>
          <w:sz w:val="32"/>
          <w:szCs w:val="32"/>
        </w:rPr>
        <w:t>防控矿产资源开发污染土壤。</w:t>
      </w:r>
      <w:r>
        <w:rPr>
          <w:rFonts w:hint="eastAsia" w:eastAsia="仿宋_GB2312"/>
          <w:kern w:val="0"/>
          <w:sz w:val="32"/>
          <w:szCs w:val="32"/>
        </w:rPr>
        <w:t>以实现资源利用高效化、开采方式科学化、生产工艺绿色化、矿山环境生态化为目标，全面开展绿色矿山建设，加快推进生产矿山改造升级，防止因矿山开采导致的土壤污染。</w:t>
      </w:r>
      <w:bookmarkEnd w:id="125"/>
      <w:bookmarkStart w:id="152" w:name="_Toc68640473"/>
      <w:bookmarkStart w:id="153" w:name="_Toc26367"/>
      <w:bookmarkStart w:id="154" w:name="_Toc76741405"/>
      <w:bookmarkStart w:id="155" w:name="_Toc91857591"/>
      <w:bookmarkStart w:id="156" w:name="_Toc103710424"/>
      <w:bookmarkStart w:id="157" w:name="_Toc6357"/>
      <w:bookmarkStart w:id="158" w:name="_Toc72621549"/>
      <w:bookmarkStart w:id="159" w:name="_Toc26194"/>
      <w:bookmarkStart w:id="160" w:name="_Toc72534742"/>
      <w:bookmarkStart w:id="161" w:name="_Toc90311707"/>
      <w:bookmarkStart w:id="162" w:name="_Toc71731578"/>
      <w:bookmarkStart w:id="163" w:name="_Toc22580"/>
    </w:p>
    <w:p>
      <w:pPr>
        <w:widowControl/>
        <w:snapToGrid w:val="0"/>
        <w:spacing w:line="590" w:lineRule="exact"/>
        <w:ind w:firstLine="643" w:firstLineChars="200"/>
        <w:outlineLvl w:val="2"/>
        <w:rPr>
          <w:rFonts w:eastAsia="仿宋_GB2312"/>
          <w:b/>
          <w:bCs/>
          <w:kern w:val="0"/>
          <w:sz w:val="32"/>
          <w:szCs w:val="32"/>
        </w:rPr>
      </w:pPr>
      <w:bookmarkStart w:id="164" w:name="_Toc8052"/>
      <w:r>
        <w:rPr>
          <w:rFonts w:eastAsia="仿宋_GB2312"/>
          <w:b/>
          <w:bCs/>
          <w:kern w:val="0"/>
          <w:sz w:val="32"/>
          <w:szCs w:val="32"/>
        </w:rPr>
        <w:t>3.</w:t>
      </w:r>
      <w:r>
        <w:rPr>
          <w:rFonts w:hint="eastAsia" w:eastAsia="仿宋_GB2312"/>
          <w:b/>
          <w:bCs/>
          <w:kern w:val="0"/>
          <w:sz w:val="32"/>
          <w:szCs w:val="32"/>
        </w:rPr>
        <w:t>稳步推进耕地保护和分类管理</w:t>
      </w:r>
      <w:bookmarkEnd w:id="152"/>
      <w:bookmarkEnd w:id="153"/>
      <w:bookmarkEnd w:id="154"/>
      <w:bookmarkEnd w:id="155"/>
      <w:bookmarkEnd w:id="156"/>
      <w:bookmarkEnd w:id="157"/>
      <w:bookmarkEnd w:id="158"/>
      <w:bookmarkEnd w:id="159"/>
      <w:bookmarkEnd w:id="160"/>
      <w:bookmarkEnd w:id="161"/>
      <w:bookmarkEnd w:id="162"/>
      <w:bookmarkEnd w:id="163"/>
      <w:bookmarkEnd w:id="164"/>
    </w:p>
    <w:p>
      <w:pPr>
        <w:widowControl/>
        <w:adjustRightInd w:val="0"/>
        <w:snapToGrid w:val="0"/>
        <w:spacing w:line="590" w:lineRule="exact"/>
        <w:ind w:firstLine="643" w:firstLineChars="200"/>
        <w:rPr>
          <w:rFonts w:eastAsia="楷体_GB2312"/>
          <w:kern w:val="0"/>
          <w:sz w:val="32"/>
          <w:szCs w:val="32"/>
        </w:rPr>
      </w:pPr>
      <w:bookmarkStart w:id="165" w:name="_Hlk68948733"/>
      <w:r>
        <w:rPr>
          <w:rFonts w:hint="eastAsia" w:eastAsia="仿宋_GB2312"/>
          <w:b/>
          <w:bCs/>
          <w:kern w:val="0"/>
          <w:sz w:val="32"/>
          <w:szCs w:val="32"/>
        </w:rPr>
        <w:t>动态调整耕地土壤环境质量类别。</w:t>
      </w:r>
      <w:r>
        <w:rPr>
          <w:rFonts w:hint="eastAsia" w:eastAsia="仿宋_GB2312"/>
          <w:kern w:val="0"/>
          <w:sz w:val="32"/>
          <w:szCs w:val="32"/>
        </w:rPr>
        <w:t>根据耕地土壤环境质量类别划定成果以及耕地土壤环境质量、农产品质量和利用现状的变化，配合省对耕地土壤环境质量类别进行动态调整。</w:t>
      </w:r>
    </w:p>
    <w:p>
      <w:pPr>
        <w:widowControl/>
        <w:adjustRightInd w:val="0"/>
        <w:snapToGrid w:val="0"/>
        <w:spacing w:line="590" w:lineRule="exact"/>
        <w:ind w:firstLine="643" w:firstLineChars="200"/>
        <w:rPr>
          <w:rFonts w:eastAsia="楷体_GB2312"/>
          <w:kern w:val="0"/>
          <w:sz w:val="32"/>
          <w:szCs w:val="32"/>
        </w:rPr>
      </w:pPr>
      <w:r>
        <w:rPr>
          <w:rFonts w:hint="eastAsia" w:eastAsia="仿宋_GB2312"/>
          <w:b/>
          <w:bCs/>
          <w:kern w:val="0"/>
          <w:sz w:val="32"/>
          <w:szCs w:val="32"/>
        </w:rPr>
        <w:t>实施耕地质量保护与提升行动。</w:t>
      </w:r>
      <w:r>
        <w:rPr>
          <w:rFonts w:hint="eastAsia" w:eastAsia="仿宋_GB2312"/>
          <w:kern w:val="0"/>
          <w:sz w:val="32"/>
          <w:szCs w:val="32"/>
        </w:rPr>
        <w:t>针对</w:t>
      </w:r>
      <w:r>
        <w:rPr>
          <w:rFonts w:hint="eastAsia" w:eastAsia="仿宋_GB2312"/>
          <w:kern w:val="0"/>
          <w:sz w:val="32"/>
          <w:szCs w:val="32"/>
          <w:lang w:val="zh-CN"/>
        </w:rPr>
        <w:t>优先保护类耕地，</w:t>
      </w:r>
      <w:r>
        <w:rPr>
          <w:rFonts w:hint="eastAsia" w:eastAsia="仿宋_GB2312"/>
          <w:kern w:val="0"/>
          <w:sz w:val="32"/>
          <w:szCs w:val="32"/>
        </w:rPr>
        <w:t>开展秸秆还田、种植绿肥还田，合理施肥，提升土壤肥力，实施土壤酸化耕地治理，遏制和缓解土壤酸化。把土壤改良作为高标准农田建设的重要内容，推广测土配方施肥技术，持续推进农药化肥减量增效，积极探索种养循环技术，强化农膜回收和农药、肥料包装废弃物回收。加强农业投入品质量监管，从严查处生产、销售、施用不达标肥料等农业投入品的行为。</w:t>
      </w:r>
      <w:bookmarkEnd w:id="165"/>
    </w:p>
    <w:p>
      <w:pPr>
        <w:widowControl/>
        <w:snapToGrid w:val="0"/>
        <w:spacing w:line="590" w:lineRule="exact"/>
        <w:ind w:firstLine="643" w:firstLineChars="200"/>
        <w:rPr>
          <w:rFonts w:eastAsia="楷体_GB2312"/>
          <w:kern w:val="0"/>
          <w:sz w:val="32"/>
          <w:szCs w:val="32"/>
        </w:rPr>
      </w:pPr>
      <w:r>
        <w:rPr>
          <w:rFonts w:hint="eastAsia" w:eastAsia="仿宋_GB2312"/>
          <w:b/>
          <w:bCs/>
          <w:kern w:val="0"/>
          <w:sz w:val="32"/>
          <w:szCs w:val="32"/>
        </w:rPr>
        <w:t>持续推进受污染耕地安全利用。</w:t>
      </w:r>
      <w:r>
        <w:rPr>
          <w:rFonts w:hint="eastAsia" w:eastAsia="仿宋_GB2312"/>
          <w:kern w:val="0"/>
          <w:sz w:val="32"/>
          <w:szCs w:val="32"/>
        </w:rPr>
        <w:t>按照省的统一工作部署，全市及各区制定“十四五”受污染耕地安全利用方案及年度工作计划，以区为单位全面推进落实受污染耕地安全利用措施。结合主要作物品种和种植习惯，筛选适合当地的技术模式和产品，因地制宜推广应用品种替代、水肥调控、生理阻隔、土壤调理等技术措施，巩固提高安全利用成效，降低农产品污染物含量超标风险。在现有农业补贴制度基础上，补贴力度向采取农用地安全利用措施农户倾斜，提升农户积极性。发挥科研院校和专业社会服务机构作用，在技术支撑、监测调查、过程监督、效果评价、台账建设等方面实施全流程专业化科学管理。</w:t>
      </w:r>
    </w:p>
    <w:p>
      <w:pPr>
        <w:widowControl/>
        <w:snapToGrid w:val="0"/>
        <w:spacing w:line="590" w:lineRule="exact"/>
        <w:ind w:firstLine="643" w:firstLineChars="200"/>
        <w:rPr>
          <w:rFonts w:eastAsia="仿宋"/>
          <w:kern w:val="0"/>
          <w:sz w:val="28"/>
          <w:szCs w:val="20"/>
        </w:rPr>
      </w:pPr>
      <w:r>
        <w:rPr>
          <w:rFonts w:hint="eastAsia" w:eastAsia="仿宋_GB2312"/>
          <w:b/>
          <w:bCs/>
          <w:kern w:val="0"/>
          <w:sz w:val="32"/>
          <w:szCs w:val="32"/>
        </w:rPr>
        <w:t>全面落实严格管控措施。</w:t>
      </w:r>
      <w:r>
        <w:rPr>
          <w:rFonts w:hint="eastAsia" w:eastAsia="仿宋_GB2312"/>
          <w:kern w:val="0"/>
          <w:sz w:val="32"/>
          <w:szCs w:val="32"/>
        </w:rPr>
        <w:t>针对严格管控类耕地，结合地方耕作习惯和农产品特色，因地施策采取种植结构调整、轮作休耕、替代种植非食用农产品与重金属低累积作物等落实严格管控措施。鼓励和支持新型经营主体承包严格管控类耕地，推动规模化种植结构调整。做到风险管控措施可落地，农民收入有提高，质量安全有保障，确保严格管控类耕地管控措施全面覆盖。各区按照受污染耕地安全利用工作方案，建立严格管控类耕地管控相关工作台账。</w:t>
      </w:r>
    </w:p>
    <w:p>
      <w:pPr>
        <w:widowControl/>
        <w:snapToGrid w:val="0"/>
        <w:spacing w:line="590" w:lineRule="exact"/>
        <w:ind w:firstLine="643" w:firstLineChars="200"/>
        <w:rPr>
          <w:rFonts w:eastAsia="楷体_GB2312"/>
          <w:kern w:val="0"/>
          <w:sz w:val="32"/>
          <w:szCs w:val="32"/>
        </w:rPr>
      </w:pPr>
      <w:r>
        <w:rPr>
          <w:rFonts w:hint="eastAsia" w:eastAsia="仿宋_GB2312"/>
          <w:b/>
          <w:kern w:val="0"/>
          <w:sz w:val="32"/>
          <w:szCs w:val="32"/>
        </w:rPr>
        <w:t>严禁重金属超标粮食进入口粮市场。</w:t>
      </w:r>
      <w:r>
        <w:rPr>
          <w:rFonts w:hint="eastAsia" w:eastAsia="仿宋_GB2312"/>
          <w:kern w:val="0"/>
          <w:sz w:val="32"/>
          <w:szCs w:val="32"/>
        </w:rPr>
        <w:t>强化对粮食收购、储存和政策性用粮治理安全监督管理。督促从事粮食收购、储存活动的粮食经营者开展粮食重金属检测，建立粮食质量档案，落实粮食入库、出库质量检验制度。</w:t>
      </w:r>
      <w:bookmarkStart w:id="166" w:name="_Hlk104383890"/>
      <w:r>
        <w:rPr>
          <w:rFonts w:hint="eastAsia" w:eastAsia="仿宋_GB2312"/>
          <w:kern w:val="0"/>
          <w:sz w:val="32"/>
          <w:szCs w:val="32"/>
        </w:rPr>
        <w:t>加强粮食加工和经营环节的质量安全监督管理，</w:t>
      </w:r>
      <w:bookmarkEnd w:id="166"/>
      <w:r>
        <w:rPr>
          <w:rFonts w:hint="eastAsia" w:eastAsia="仿宋_GB2312"/>
          <w:kern w:val="0"/>
          <w:sz w:val="32"/>
          <w:szCs w:val="32"/>
        </w:rPr>
        <w:t>加大粮食抽检力度，</w:t>
      </w:r>
      <w:bookmarkStart w:id="167" w:name="_Hlk104383900"/>
      <w:r>
        <w:rPr>
          <w:rFonts w:hint="eastAsia" w:eastAsia="仿宋_GB2312"/>
          <w:kern w:val="0"/>
          <w:sz w:val="32"/>
          <w:szCs w:val="32"/>
        </w:rPr>
        <w:t>经监督检查或抽查发现的重金属超标粮食</w:t>
      </w:r>
      <w:bookmarkEnd w:id="167"/>
      <w:r>
        <w:rPr>
          <w:rFonts w:hint="eastAsia" w:eastAsia="仿宋_GB2312"/>
          <w:kern w:val="0"/>
          <w:sz w:val="32"/>
          <w:szCs w:val="32"/>
        </w:rPr>
        <w:t>按照国家和省有关政策进行处置，</w:t>
      </w:r>
      <w:bookmarkStart w:id="168" w:name="_Hlk104383913"/>
      <w:r>
        <w:rPr>
          <w:rFonts w:hint="eastAsia" w:eastAsia="仿宋_GB2312"/>
          <w:kern w:val="0"/>
          <w:sz w:val="32"/>
          <w:szCs w:val="32"/>
        </w:rPr>
        <w:t>防止</w:t>
      </w:r>
      <w:bookmarkEnd w:id="168"/>
      <w:r>
        <w:rPr>
          <w:rFonts w:hint="eastAsia" w:eastAsia="仿宋_GB2312"/>
          <w:kern w:val="0"/>
          <w:sz w:val="32"/>
          <w:szCs w:val="32"/>
        </w:rPr>
        <w:t>重金属超标粮食进入口粮市场。</w:t>
      </w:r>
    </w:p>
    <w:p>
      <w:pPr>
        <w:widowControl/>
        <w:snapToGrid w:val="0"/>
        <w:spacing w:line="590" w:lineRule="exact"/>
        <w:ind w:firstLine="643" w:firstLineChars="200"/>
        <w:outlineLvl w:val="2"/>
        <w:rPr>
          <w:rFonts w:eastAsia="仿宋_GB2312"/>
          <w:b/>
          <w:bCs/>
          <w:kern w:val="0"/>
          <w:sz w:val="32"/>
          <w:szCs w:val="32"/>
        </w:rPr>
      </w:pPr>
      <w:bookmarkStart w:id="169" w:name="_Toc24083"/>
      <w:bookmarkStart w:id="170" w:name="_Toc68197155"/>
      <w:bookmarkStart w:id="171" w:name="_Toc91857592"/>
      <w:bookmarkStart w:id="172" w:name="_Toc32762"/>
      <w:bookmarkStart w:id="173" w:name="_Toc15914"/>
      <w:bookmarkStart w:id="174" w:name="_Toc72621550"/>
      <w:bookmarkStart w:id="175" w:name="_Toc4773"/>
      <w:bookmarkStart w:id="176" w:name="_Toc90311708"/>
      <w:bookmarkStart w:id="177" w:name="_Toc72534743"/>
      <w:bookmarkStart w:id="178" w:name="_Toc71731579"/>
      <w:bookmarkStart w:id="179" w:name="_Toc103710425"/>
      <w:bookmarkStart w:id="180" w:name="_Toc22315"/>
      <w:bookmarkStart w:id="181" w:name="_Toc76741406"/>
      <w:r>
        <w:rPr>
          <w:rFonts w:eastAsia="仿宋_GB2312"/>
          <w:b/>
          <w:bCs/>
          <w:kern w:val="0"/>
          <w:sz w:val="32"/>
          <w:szCs w:val="32"/>
        </w:rPr>
        <w:t>4.</w:t>
      </w:r>
      <w:r>
        <w:rPr>
          <w:rFonts w:hint="eastAsia" w:eastAsia="仿宋_GB2312"/>
          <w:b/>
          <w:bCs/>
          <w:kern w:val="0"/>
          <w:sz w:val="32"/>
          <w:szCs w:val="32"/>
        </w:rPr>
        <w:t>逐步完善建设用地准入管理</w:t>
      </w:r>
      <w:bookmarkEnd w:id="169"/>
      <w:bookmarkEnd w:id="170"/>
      <w:bookmarkEnd w:id="171"/>
      <w:bookmarkEnd w:id="172"/>
      <w:bookmarkEnd w:id="173"/>
      <w:bookmarkEnd w:id="174"/>
      <w:bookmarkEnd w:id="175"/>
      <w:bookmarkEnd w:id="176"/>
      <w:bookmarkEnd w:id="177"/>
      <w:bookmarkEnd w:id="178"/>
      <w:bookmarkEnd w:id="179"/>
      <w:bookmarkEnd w:id="180"/>
      <w:bookmarkEnd w:id="181"/>
    </w:p>
    <w:p>
      <w:pPr>
        <w:widowControl/>
        <w:snapToGrid w:val="0"/>
        <w:spacing w:line="590" w:lineRule="exact"/>
        <w:ind w:firstLine="643" w:firstLineChars="200"/>
        <w:rPr>
          <w:rFonts w:eastAsia="仿宋_GB2312"/>
          <w:b/>
          <w:bCs/>
          <w:kern w:val="0"/>
          <w:sz w:val="32"/>
          <w:szCs w:val="32"/>
        </w:rPr>
      </w:pPr>
      <w:r>
        <w:rPr>
          <w:rFonts w:hint="eastAsia" w:eastAsia="仿宋_GB2312"/>
          <w:b/>
          <w:bCs/>
          <w:kern w:val="0"/>
          <w:sz w:val="32"/>
          <w:szCs w:val="32"/>
        </w:rPr>
        <w:t>健全土壤污染状况调查名录。</w:t>
      </w:r>
      <w:r>
        <w:rPr>
          <w:rFonts w:hint="eastAsia" w:eastAsia="仿宋_GB2312"/>
          <w:kern w:val="0"/>
          <w:sz w:val="32"/>
          <w:szCs w:val="32"/>
        </w:rPr>
        <w:t>逐步将重点行业企业用地调查确定的高风险关闭搬迁地块、城市更新及村级工业园改造过程中依法应开展调查的地块，纳入建设用地土壤污染状况调查名录。充分发挥环境大数据辅助监管的作用，对注销、撤销排污许可证企业视情况告知土壤污染状况调查责任。</w:t>
      </w:r>
    </w:p>
    <w:p>
      <w:pPr>
        <w:widowControl/>
        <w:snapToGrid w:val="0"/>
        <w:spacing w:line="590" w:lineRule="exact"/>
        <w:ind w:firstLine="643" w:firstLineChars="200"/>
        <w:rPr>
          <w:rFonts w:eastAsia="仿宋_GB2312"/>
          <w:kern w:val="0"/>
          <w:sz w:val="32"/>
          <w:szCs w:val="28"/>
        </w:rPr>
      </w:pPr>
      <w:r>
        <w:rPr>
          <w:rFonts w:hint="eastAsia" w:eastAsia="仿宋_GB2312"/>
          <w:b/>
          <w:bCs/>
          <w:kern w:val="0"/>
          <w:sz w:val="32"/>
          <w:szCs w:val="32"/>
        </w:rPr>
        <w:t>持续推进土壤污染状况调查评估。</w:t>
      </w:r>
      <w:r>
        <w:rPr>
          <w:rFonts w:hint="eastAsia" w:eastAsia="仿宋_GB2312"/>
          <w:bCs/>
          <w:kern w:val="0"/>
          <w:sz w:val="32"/>
          <w:szCs w:val="32"/>
        </w:rPr>
        <w:t>以用途变更为“一住两公”（住宅、公共管理和公共服务用地）的地块为重点，依法开展土壤污染状况调查和风险评估。在土壤污染重点监管单位生产经营用地用途变更或者其土地使用权收回、收购及转让前，督促土地使用权人依法开展土壤污染状况调查。</w:t>
      </w:r>
      <w:bookmarkStart w:id="182" w:name="_Hlk103269585"/>
      <w:r>
        <w:rPr>
          <w:rFonts w:hint="eastAsia" w:eastAsia="仿宋_GB2312"/>
          <w:bCs/>
          <w:kern w:val="0"/>
          <w:sz w:val="32"/>
          <w:szCs w:val="32"/>
        </w:rPr>
        <w:t>调查报告纳入不动产登记管理，土地使用权人依法向地方人民政府不动产登记机构提交土壤污染调查报告，并报地方人民政府生态环境主管部门备案。</w:t>
      </w:r>
    </w:p>
    <w:bookmarkEnd w:id="182"/>
    <w:p>
      <w:pPr>
        <w:widowControl/>
        <w:snapToGrid w:val="0"/>
        <w:spacing w:line="590" w:lineRule="exact"/>
        <w:ind w:firstLine="643" w:firstLineChars="200"/>
        <w:rPr>
          <w:rFonts w:eastAsia="楷体_GB2312"/>
          <w:kern w:val="0"/>
          <w:sz w:val="32"/>
          <w:szCs w:val="32"/>
        </w:rPr>
      </w:pPr>
      <w:r>
        <w:rPr>
          <w:rFonts w:hint="eastAsia" w:eastAsia="仿宋_GB2312"/>
          <w:b/>
          <w:bCs/>
          <w:kern w:val="0"/>
          <w:sz w:val="32"/>
          <w:szCs w:val="32"/>
        </w:rPr>
        <w:t>探索提前开展土壤污染状况调查。</w:t>
      </w:r>
      <w:r>
        <w:rPr>
          <w:rFonts w:hint="eastAsia" w:eastAsia="仿宋_GB2312"/>
          <w:kern w:val="0"/>
          <w:sz w:val="32"/>
          <w:szCs w:val="32"/>
        </w:rPr>
        <w:t>土地储备机构建立（拟）储备地块土壤污染防治项目台账，实施分类管理，尽早通知和督促相关责任主体提前开展土壤污染状况调查。鼓励对列入年度建设用地供应计划应依法开展土壤污染状况调查的地块，在控制性详细规划确定时提前开展调查。对涉及依法应当开展土壤污染状况调查的地块，鼓励在供地方案报批前完成调查和风险评估。鼓励在编制涉及城市更新的详细规划时，督促相关当事人对用途拟变更为“一住两公”的地块依法开展土壤污染状况调查。</w:t>
      </w:r>
    </w:p>
    <w:p>
      <w:pPr>
        <w:widowControl/>
        <w:snapToGrid w:val="0"/>
        <w:spacing w:line="590" w:lineRule="exact"/>
        <w:ind w:firstLine="643" w:firstLineChars="200"/>
        <w:rPr>
          <w:rFonts w:eastAsia="仿宋_GB2312"/>
          <w:b/>
          <w:kern w:val="0"/>
          <w:sz w:val="32"/>
          <w:szCs w:val="32"/>
        </w:rPr>
      </w:pPr>
      <w:bookmarkStart w:id="183" w:name="_Hlk89872285"/>
      <w:r>
        <w:rPr>
          <w:rFonts w:hint="eastAsia" w:eastAsia="仿宋_GB2312"/>
          <w:b/>
          <w:kern w:val="0"/>
          <w:sz w:val="32"/>
          <w:szCs w:val="32"/>
        </w:rPr>
        <w:t>合理规划地块用途。</w:t>
      </w:r>
      <w:r>
        <w:rPr>
          <w:rFonts w:hint="eastAsia" w:eastAsia="仿宋_GB2312"/>
          <w:kern w:val="0"/>
          <w:sz w:val="32"/>
          <w:szCs w:val="32"/>
        </w:rPr>
        <w:t>从事土地开发利用活动，应当采取有效措施，防止、减少土壤污染，并确保建设用地符合土壤环境质量要求。将建设用地土壤环境管理要求纳入国土空间规划管理，在编制国土空间规划等相关规划时，应充分考虑地块环境风险，合理确定土地用途。从严管控农药、化工等行业中的重度污染地块规划用途，确需开发利用的，鼓励用于拓展生态空间。</w:t>
      </w:r>
    </w:p>
    <w:p>
      <w:pPr>
        <w:widowControl/>
        <w:snapToGrid w:val="0"/>
        <w:spacing w:line="590" w:lineRule="exact"/>
        <w:ind w:firstLine="643" w:firstLineChars="200"/>
        <w:rPr>
          <w:rFonts w:eastAsia="仿宋_GB2312"/>
          <w:kern w:val="0"/>
          <w:sz w:val="32"/>
          <w:szCs w:val="32"/>
        </w:rPr>
      </w:pPr>
      <w:r>
        <w:rPr>
          <w:rFonts w:hint="eastAsia" w:eastAsia="仿宋_GB2312"/>
          <w:b/>
          <w:kern w:val="0"/>
          <w:sz w:val="32"/>
          <w:szCs w:val="32"/>
        </w:rPr>
        <w:t>严格土地供应和开发利用等环节监管。</w:t>
      </w:r>
      <w:bookmarkEnd w:id="183"/>
      <w:r>
        <w:rPr>
          <w:rFonts w:hint="eastAsia" w:eastAsia="仿宋_GB2312"/>
          <w:bCs/>
          <w:kern w:val="0"/>
          <w:sz w:val="32"/>
          <w:szCs w:val="32"/>
        </w:rPr>
        <w:t>将建设用地土壤环境管理要求嵌入土地储备、供应、改变用途等环节的审批程序，自然资源部门在制定年度土地储备计划、建设用地供应计划、城市更新计划时，充分考虑污染地块的环境风险。原则上不办理建设用地土壤污染风险管控和修复名录内地块的土地供应等手续。未按照有关要求完成土壤污染状况调查、风险评估或经调查评估确定为污染地块但未明确风险管控和修复责任主体的，禁止进行土地出让、划拨。因地制宜推进“净土开发”模式落地实施，符合“净土开发”条件的地块，可在明确修复责任主体后出让，并在出让合同中约定，由受让人结合实际需求选择合适的修复方式在规定的时间内完成污染土壤修复处置。</w:t>
      </w:r>
    </w:p>
    <w:p>
      <w:pPr>
        <w:widowControl/>
        <w:snapToGrid w:val="0"/>
        <w:spacing w:line="590" w:lineRule="exact"/>
        <w:ind w:firstLine="643" w:firstLineChars="200"/>
        <w:rPr>
          <w:rFonts w:eastAsia="楷体_GB2312"/>
          <w:kern w:val="0"/>
          <w:sz w:val="32"/>
          <w:szCs w:val="32"/>
        </w:rPr>
      </w:pPr>
      <w:r>
        <w:rPr>
          <w:rFonts w:hint="eastAsia" w:eastAsia="仿宋_GB2312"/>
          <w:b/>
          <w:bCs/>
          <w:kern w:val="0"/>
          <w:sz w:val="32"/>
          <w:szCs w:val="32"/>
        </w:rPr>
        <w:t>优化土地开发和使用时序。</w:t>
      </w:r>
      <w:r>
        <w:rPr>
          <w:rFonts w:hint="eastAsia" w:eastAsia="仿宋_GB2312"/>
          <w:kern w:val="0"/>
          <w:sz w:val="32"/>
          <w:szCs w:val="32"/>
        </w:rPr>
        <w:t>涉及成片污染地块分期分批开发的，以及污染地块周边土地开发的，要优化开发时序，防止受污染土壤及其后续风险管控和修复影响周边拟入住敏感人群；原则上“一住两公”等敏感类用地应后开发，在周边土壤环境风险得到全面管控后再投入使用。在地块开发建设中发现存在污染现象的，要及时报告生态环境部门并依法开展土壤污染状况调查。</w:t>
      </w:r>
    </w:p>
    <w:p>
      <w:pPr>
        <w:widowControl/>
        <w:snapToGrid w:val="0"/>
        <w:spacing w:line="590" w:lineRule="exact"/>
        <w:ind w:firstLine="643" w:firstLineChars="200"/>
        <w:rPr>
          <w:rFonts w:eastAsia="仿宋_GB2312"/>
          <w:kern w:val="0"/>
          <w:sz w:val="32"/>
          <w:szCs w:val="32"/>
        </w:rPr>
      </w:pPr>
      <w:r>
        <w:rPr>
          <w:rFonts w:hint="eastAsia" w:eastAsia="仿宋_GB2312"/>
          <w:b/>
          <w:bCs/>
          <w:kern w:val="0"/>
          <w:sz w:val="32"/>
          <w:szCs w:val="32"/>
        </w:rPr>
        <w:t>强化部门信息共享。</w:t>
      </w:r>
      <w:r>
        <w:rPr>
          <w:rFonts w:hint="eastAsia" w:eastAsia="仿宋_GB2312"/>
          <w:kern w:val="0"/>
          <w:sz w:val="32"/>
          <w:szCs w:val="32"/>
        </w:rPr>
        <w:t>自然资源部门及时与生态环境部门共享用途变更为“一住两公”地块信息，土壤污染重点监管单位生产经营用地用途变更或土地使用权收回、转让等信息，以及涉及污染地块国土空间规划等相关信息。生态环境部门通过污染地块信息系统及时与自然资源、住房城乡建设等部门共享污染地块的空间信息。自然资源部门将生态环境部门共享的疑似污染地块、污染地块空间信息等纳入国土空间规划“一张图”管理，为建设用地规划许可和用地审批提供参考。</w:t>
      </w:r>
    </w:p>
    <w:p>
      <w:pPr>
        <w:widowControl/>
        <w:snapToGrid w:val="0"/>
        <w:spacing w:line="590" w:lineRule="exact"/>
        <w:ind w:firstLine="643" w:firstLineChars="200"/>
        <w:rPr>
          <w:rFonts w:eastAsia="仿宋"/>
          <w:kern w:val="0"/>
          <w:sz w:val="28"/>
          <w:szCs w:val="20"/>
        </w:rPr>
      </w:pPr>
      <w:r>
        <w:rPr>
          <w:rFonts w:hint="eastAsia" w:eastAsia="仿宋_GB2312"/>
          <w:b/>
          <w:bCs/>
          <w:kern w:val="0"/>
          <w:sz w:val="32"/>
          <w:szCs w:val="32"/>
        </w:rPr>
        <w:t>加强联动监管。</w:t>
      </w:r>
      <w:r>
        <w:rPr>
          <w:rFonts w:hint="eastAsia" w:eastAsia="仿宋_GB2312"/>
          <w:kern w:val="0"/>
          <w:sz w:val="32"/>
          <w:szCs w:val="32"/>
        </w:rPr>
        <w:t>针对纳入污染地块信息系统的地块，自然资源部门负责在出具规划条件、编制控制性详细规划及发放建设用地规划许可证、建设工程规划许可证等环节加强监督管理，并充分征求生态环境部门的意见。</w:t>
      </w:r>
      <w:bookmarkStart w:id="184" w:name="_Hlk104384081"/>
      <w:r>
        <w:rPr>
          <w:rFonts w:hint="eastAsia" w:eastAsia="仿宋_GB2312"/>
          <w:kern w:val="0"/>
          <w:sz w:val="32"/>
          <w:szCs w:val="32"/>
        </w:rPr>
        <w:t>生态环境部门会同自然资源部门</w:t>
      </w:r>
      <w:bookmarkEnd w:id="184"/>
      <w:r>
        <w:rPr>
          <w:rFonts w:hint="eastAsia" w:eastAsia="仿宋_GB2312"/>
          <w:kern w:val="0"/>
          <w:sz w:val="32"/>
          <w:szCs w:val="32"/>
        </w:rPr>
        <w:t>建立重点建设用地安全利用核算机制。对于依法取得《施工许可证》的房屋市政工程涉及的基坑工程，住房城乡建设部门要建立安全监督制度，及时反馈施工许可核发项目未完成土壤污染状况调查、风险评估或修复等相关信息。</w:t>
      </w:r>
    </w:p>
    <w:p>
      <w:pPr>
        <w:widowControl/>
        <w:snapToGrid w:val="0"/>
        <w:spacing w:line="590" w:lineRule="exact"/>
        <w:ind w:firstLine="643" w:firstLineChars="200"/>
        <w:outlineLvl w:val="2"/>
        <w:rPr>
          <w:rFonts w:eastAsia="仿宋_GB2312"/>
          <w:b/>
          <w:bCs/>
          <w:kern w:val="0"/>
          <w:sz w:val="32"/>
          <w:szCs w:val="32"/>
        </w:rPr>
      </w:pPr>
      <w:bookmarkStart w:id="185" w:name="_Toc72621551"/>
      <w:bookmarkStart w:id="186" w:name="_Toc71731580"/>
      <w:bookmarkStart w:id="187" w:name="_Toc20078"/>
      <w:bookmarkStart w:id="188" w:name="_Toc76741407"/>
      <w:bookmarkStart w:id="189" w:name="_Toc68197156"/>
      <w:bookmarkStart w:id="190" w:name="_Toc72534744"/>
      <w:bookmarkStart w:id="191" w:name="_Toc5320"/>
      <w:bookmarkStart w:id="192" w:name="_Toc91857593"/>
      <w:bookmarkStart w:id="193" w:name="_Toc103710426"/>
      <w:bookmarkStart w:id="194" w:name="_Toc90311709"/>
      <w:bookmarkStart w:id="195" w:name="_Toc31800"/>
      <w:bookmarkStart w:id="196" w:name="_Toc27584"/>
      <w:bookmarkStart w:id="197" w:name="_Toc27048"/>
      <w:r>
        <w:rPr>
          <w:rFonts w:eastAsia="仿宋_GB2312"/>
          <w:b/>
          <w:bCs/>
          <w:kern w:val="0"/>
          <w:sz w:val="32"/>
          <w:szCs w:val="32"/>
        </w:rPr>
        <w:t>5</w:t>
      </w:r>
      <w:bookmarkEnd w:id="185"/>
      <w:bookmarkEnd w:id="186"/>
      <w:bookmarkEnd w:id="187"/>
      <w:bookmarkEnd w:id="188"/>
      <w:bookmarkEnd w:id="189"/>
      <w:bookmarkEnd w:id="190"/>
      <w:r>
        <w:rPr>
          <w:rFonts w:eastAsia="仿宋_GB2312"/>
          <w:b/>
          <w:bCs/>
          <w:kern w:val="0"/>
          <w:sz w:val="32"/>
          <w:szCs w:val="32"/>
        </w:rPr>
        <w:t>.</w:t>
      </w:r>
      <w:r>
        <w:rPr>
          <w:rFonts w:hint="eastAsia" w:eastAsia="仿宋_GB2312"/>
          <w:b/>
          <w:bCs/>
          <w:kern w:val="0"/>
          <w:sz w:val="32"/>
          <w:szCs w:val="32"/>
        </w:rPr>
        <w:t>有序推进建设用地风险管控与修复</w:t>
      </w:r>
      <w:bookmarkEnd w:id="191"/>
      <w:bookmarkEnd w:id="192"/>
      <w:bookmarkEnd w:id="193"/>
      <w:bookmarkEnd w:id="194"/>
      <w:bookmarkEnd w:id="195"/>
      <w:bookmarkEnd w:id="196"/>
      <w:bookmarkEnd w:id="197"/>
    </w:p>
    <w:p>
      <w:pPr>
        <w:pStyle w:val="11"/>
        <w:snapToGrid w:val="0"/>
        <w:spacing w:after="0" w:line="590" w:lineRule="exact"/>
        <w:ind w:left="0" w:leftChars="0" w:firstLine="643"/>
        <w:rPr>
          <w:sz w:val="32"/>
          <w:szCs w:val="32"/>
        </w:rPr>
      </w:pPr>
      <w:r>
        <w:rPr>
          <w:rFonts w:hint="eastAsia" w:eastAsia="仿宋_GB2312"/>
          <w:b/>
          <w:bCs/>
          <w:sz w:val="32"/>
          <w:szCs w:val="32"/>
        </w:rPr>
        <w:t>强化地块修复活动过程监管。</w:t>
      </w:r>
      <w:r>
        <w:rPr>
          <w:rFonts w:hint="eastAsia" w:eastAsia="仿宋_GB2312"/>
          <w:sz w:val="32"/>
          <w:szCs w:val="32"/>
        </w:rPr>
        <w:t>强化信息公开监管，依法推动管控和修复活动信息公开。严格落实广州市建设用地土壤污染修复现场环保检查制度，强化修复活动事中监管，重点关注二次污染情况及是否存在违规开工建设与修复无关项目等问题。推动利用卫星遥感、无人机、视频监控等手段开展非现场辅助检查。加强污染土壤外运监管，对治理修复期间确需外运的污染土壤，按照相关要求进行危险废物鉴定并分类外运处置，执行污染土壤转运联单制度，防止外运土壤非法处置。污染土壤修复后资源化利用的，不得对土壤和周边环境造成新的污染。</w:t>
      </w:r>
    </w:p>
    <w:p>
      <w:pPr>
        <w:pStyle w:val="11"/>
        <w:snapToGrid w:val="0"/>
        <w:spacing w:after="0" w:line="590" w:lineRule="exact"/>
        <w:ind w:left="0" w:leftChars="0" w:firstLine="643"/>
        <w:rPr>
          <w:rFonts w:eastAsia="楷体_GB2312"/>
          <w:sz w:val="32"/>
          <w:szCs w:val="32"/>
        </w:rPr>
      </w:pPr>
      <w:r>
        <w:rPr>
          <w:rFonts w:hint="eastAsia" w:eastAsia="仿宋_GB2312"/>
          <w:b/>
          <w:bCs/>
          <w:sz w:val="32"/>
          <w:szCs w:val="32"/>
        </w:rPr>
        <w:t>强化风险管控地块后期监管。</w:t>
      </w:r>
      <w:r>
        <w:rPr>
          <w:rFonts w:hint="eastAsia" w:eastAsia="仿宋_GB2312"/>
          <w:sz w:val="32"/>
          <w:szCs w:val="32"/>
        </w:rPr>
        <w:t>以实施风险管控的地块为重点，强化后期管理，综合采取长期环境监测、制度控制等方式，确保实现安全利用。</w:t>
      </w:r>
      <w:r>
        <w:rPr>
          <w:rFonts w:eastAsia="仿宋_GB2312"/>
          <w:sz w:val="32"/>
          <w:szCs w:val="32"/>
        </w:rPr>
        <w:t>2023</w:t>
      </w:r>
      <w:r>
        <w:rPr>
          <w:rFonts w:hint="eastAsia" w:eastAsia="仿宋_GB2312"/>
          <w:sz w:val="32"/>
          <w:szCs w:val="32"/>
        </w:rPr>
        <w:t>年起，重点针对涉及阻隔回填技术等风险管控措施的地块，开展开发利用现状、长期监测落实情况摸查，强化监管。对于涉及到工程阻隔等风险管控的地块，自然资源部门在核发建设工程规划许可证时，应当加强建设工程设计方案审查，避免后续开发建设对工程阻隔造成破坏。</w:t>
      </w:r>
    </w:p>
    <w:p>
      <w:pPr>
        <w:pStyle w:val="11"/>
        <w:snapToGrid w:val="0"/>
        <w:spacing w:after="0" w:line="590" w:lineRule="exact"/>
        <w:ind w:left="0" w:leftChars="0" w:firstLine="643"/>
        <w:rPr>
          <w:rFonts w:eastAsia="楷体_GB2312"/>
          <w:sz w:val="32"/>
          <w:szCs w:val="32"/>
        </w:rPr>
      </w:pPr>
      <w:r>
        <w:rPr>
          <w:rFonts w:hint="eastAsia" w:eastAsia="仿宋_GB2312"/>
          <w:b/>
          <w:bCs/>
          <w:sz w:val="32"/>
          <w:szCs w:val="32"/>
        </w:rPr>
        <w:t>管控暂不开发利用污染地块。</w:t>
      </w:r>
      <w:r>
        <w:rPr>
          <w:rFonts w:hint="eastAsia" w:eastAsia="仿宋_GB2312"/>
          <w:sz w:val="32"/>
          <w:szCs w:val="32"/>
        </w:rPr>
        <w:t>按省的部署，以暂不开发利用的重点行业企业高风险关闭搬迁地块和建设用地污染状况调查名录中的污染地块为重点，因地制宜实施风险管控，防止污染扩散，必要时组织开展土壤、地下水等环境监测。通过监测发现污染扩大的地块，责令土壤污染责任人、土地使用权人限期管控和修复。</w:t>
      </w:r>
    </w:p>
    <w:p>
      <w:pPr>
        <w:widowControl/>
        <w:snapToGrid w:val="0"/>
        <w:spacing w:line="590" w:lineRule="exact"/>
        <w:ind w:firstLine="643" w:firstLineChars="200"/>
        <w:rPr>
          <w:rFonts w:eastAsia="仿宋"/>
          <w:kern w:val="0"/>
          <w:sz w:val="32"/>
          <w:szCs w:val="32"/>
        </w:rPr>
      </w:pPr>
      <w:r>
        <w:rPr>
          <w:rFonts w:hint="eastAsia" w:eastAsia="仿宋_GB2312"/>
          <w:b/>
          <w:bCs/>
          <w:kern w:val="0"/>
          <w:sz w:val="32"/>
          <w:szCs w:val="32"/>
        </w:rPr>
        <w:t>探索污染地块风险管控与修复新模式。</w:t>
      </w:r>
      <w:r>
        <w:rPr>
          <w:rFonts w:hint="eastAsia" w:eastAsia="仿宋_GB2312"/>
          <w:kern w:val="0"/>
          <w:sz w:val="32"/>
          <w:szCs w:val="32"/>
        </w:rPr>
        <w:t>持续推进典型地块试点示范，探索污染地块“环境修复</w:t>
      </w:r>
      <w:r>
        <w:rPr>
          <w:rFonts w:eastAsia="仿宋_GB2312"/>
          <w:kern w:val="0"/>
          <w:sz w:val="32"/>
          <w:szCs w:val="32"/>
        </w:rPr>
        <w:t>+</w:t>
      </w:r>
      <w:r>
        <w:rPr>
          <w:rFonts w:hint="eastAsia" w:eastAsia="仿宋_GB2312"/>
          <w:kern w:val="0"/>
          <w:sz w:val="32"/>
          <w:szCs w:val="32"/>
        </w:rPr>
        <w:t>开发建设”模式，开展项目试点并逐步形成经验模式。符合“净土开发”条件、明确修复和开发责任主体的地块，鼓励开发主体采用“环境修复</w:t>
      </w:r>
      <w:r>
        <w:rPr>
          <w:rFonts w:eastAsia="仿宋_GB2312"/>
          <w:kern w:val="0"/>
          <w:sz w:val="32"/>
          <w:szCs w:val="32"/>
        </w:rPr>
        <w:t>+</w:t>
      </w:r>
      <w:r>
        <w:rPr>
          <w:rFonts w:hint="eastAsia" w:eastAsia="仿宋_GB2312"/>
          <w:kern w:val="0"/>
          <w:sz w:val="32"/>
          <w:szCs w:val="32"/>
        </w:rPr>
        <w:t>开发建设”模式，提高工程利用效率，减少资源浪费，实现减污协同降碳。推进广州市污染土壤集中治理与资源化利用处置中心建设，探索制定污染土壤异地集中处置环境监管要求，促进污染土壤修复集中闭环监控，确保环境安全。结合重点行业企业用地土壤污染状况调查结果，选择典型企业开展风险管控评估和污染风险关键环节管控试点，探索在产企业边生产边管控土壤污染风险模式。</w:t>
      </w:r>
    </w:p>
    <w:p>
      <w:pPr>
        <w:pStyle w:val="3"/>
        <w:widowControl w:val="0"/>
        <w:snapToGrid w:val="0"/>
        <w:spacing w:before="0" w:after="0" w:line="590" w:lineRule="exact"/>
        <w:ind w:firstLine="643" w:firstLineChars="200"/>
        <w:jc w:val="both"/>
        <w:rPr>
          <w:rFonts w:ascii="Times New Roman" w:hAnsi="Times New Roman" w:eastAsia="楷体_GB2312" w:cs="Times New Roman"/>
          <w:sz w:val="32"/>
        </w:rPr>
      </w:pPr>
      <w:bookmarkStart w:id="198" w:name="_Toc72534745"/>
      <w:bookmarkStart w:id="199" w:name="_Toc91857594"/>
      <w:bookmarkStart w:id="200" w:name="_Toc1691"/>
      <w:bookmarkStart w:id="201" w:name="_Toc103710427"/>
      <w:bookmarkStart w:id="202" w:name="_Toc90311710"/>
      <w:bookmarkStart w:id="203" w:name="_Toc22097"/>
      <w:bookmarkStart w:id="204" w:name="_Toc25355"/>
      <w:bookmarkStart w:id="205" w:name="_Toc16316"/>
      <w:bookmarkStart w:id="206" w:name="_Toc76741408"/>
      <w:bookmarkStart w:id="207" w:name="_Toc68197157"/>
      <w:bookmarkStart w:id="208" w:name="_Toc72621552"/>
      <w:bookmarkStart w:id="209" w:name="_Toc7359"/>
      <w:r>
        <w:rPr>
          <w:rFonts w:hint="eastAsia" w:ascii="Times New Roman" w:hAnsi="Times New Roman" w:eastAsia="楷体_GB2312"/>
          <w:sz w:val="32"/>
        </w:rPr>
        <w:t>（二）扎实推进地下水污染防治</w:t>
      </w:r>
      <w:bookmarkEnd w:id="198"/>
      <w:bookmarkEnd w:id="199"/>
      <w:bookmarkEnd w:id="200"/>
      <w:bookmarkEnd w:id="201"/>
      <w:bookmarkEnd w:id="202"/>
      <w:bookmarkEnd w:id="203"/>
      <w:bookmarkEnd w:id="204"/>
      <w:bookmarkEnd w:id="205"/>
      <w:bookmarkEnd w:id="206"/>
      <w:bookmarkEnd w:id="207"/>
      <w:bookmarkEnd w:id="208"/>
      <w:bookmarkEnd w:id="209"/>
    </w:p>
    <w:p>
      <w:pPr>
        <w:widowControl/>
        <w:snapToGrid w:val="0"/>
        <w:spacing w:line="590" w:lineRule="exact"/>
        <w:ind w:firstLine="643" w:firstLineChars="200"/>
        <w:outlineLvl w:val="2"/>
        <w:rPr>
          <w:rFonts w:eastAsia="仿宋_GB2312"/>
          <w:b/>
          <w:bCs/>
          <w:kern w:val="0"/>
          <w:sz w:val="32"/>
          <w:szCs w:val="32"/>
        </w:rPr>
      </w:pPr>
      <w:bookmarkStart w:id="210" w:name="_Toc24995"/>
      <w:bookmarkStart w:id="211" w:name="_Toc91857595"/>
      <w:bookmarkStart w:id="212" w:name="_Toc76741409"/>
      <w:bookmarkStart w:id="213" w:name="_Toc16612"/>
      <w:bookmarkStart w:id="214" w:name="_Toc22379"/>
      <w:bookmarkStart w:id="215" w:name="_Toc9702"/>
      <w:bookmarkStart w:id="216" w:name="_Toc90311711"/>
      <w:bookmarkStart w:id="217" w:name="_Toc27227"/>
      <w:bookmarkStart w:id="218" w:name="_Toc103710428"/>
      <w:bookmarkStart w:id="219" w:name="_Toc68197163"/>
      <w:bookmarkStart w:id="220" w:name="_Toc72621556"/>
      <w:bookmarkStart w:id="221" w:name="_Toc72534749"/>
      <w:r>
        <w:rPr>
          <w:rFonts w:eastAsia="仿宋_GB2312"/>
          <w:b/>
          <w:bCs/>
          <w:kern w:val="0"/>
          <w:sz w:val="32"/>
          <w:szCs w:val="32"/>
        </w:rPr>
        <w:t>1</w:t>
      </w:r>
      <w:bookmarkStart w:id="222" w:name="_Hlk89871182"/>
      <w:r>
        <w:rPr>
          <w:rFonts w:eastAsia="仿宋_GB2312"/>
          <w:b/>
          <w:bCs/>
          <w:kern w:val="0"/>
          <w:sz w:val="32"/>
          <w:szCs w:val="32"/>
        </w:rPr>
        <w:t>.</w:t>
      </w:r>
      <w:r>
        <w:rPr>
          <w:rFonts w:hint="eastAsia" w:eastAsia="仿宋_GB2312"/>
          <w:b/>
          <w:bCs/>
          <w:kern w:val="0"/>
          <w:sz w:val="32"/>
          <w:szCs w:val="32"/>
        </w:rPr>
        <w:t>持续推进地下水环境状况调查</w:t>
      </w:r>
      <w:bookmarkEnd w:id="210"/>
      <w:bookmarkEnd w:id="211"/>
      <w:bookmarkEnd w:id="212"/>
      <w:bookmarkEnd w:id="213"/>
      <w:bookmarkEnd w:id="214"/>
      <w:bookmarkEnd w:id="215"/>
      <w:bookmarkEnd w:id="216"/>
      <w:bookmarkEnd w:id="217"/>
      <w:bookmarkEnd w:id="218"/>
    </w:p>
    <w:bookmarkEnd w:id="222"/>
    <w:p>
      <w:pPr>
        <w:widowControl/>
        <w:snapToGrid w:val="0"/>
        <w:spacing w:line="590" w:lineRule="exact"/>
        <w:ind w:firstLine="643" w:firstLineChars="200"/>
        <w:rPr>
          <w:rFonts w:ascii="楷体" w:hAnsi="楷体" w:eastAsia="楷体" w:cs="楷体"/>
          <w:kern w:val="0"/>
          <w:sz w:val="32"/>
          <w:szCs w:val="32"/>
          <w:lang w:bidi="ar"/>
        </w:rPr>
      </w:pPr>
      <w:bookmarkStart w:id="223" w:name="_Hlk110896104"/>
      <w:r>
        <w:rPr>
          <w:rFonts w:hint="eastAsia" w:eastAsia="仿宋_GB2312"/>
          <w:b/>
          <w:bCs/>
          <w:kern w:val="0"/>
          <w:sz w:val="32"/>
          <w:szCs w:val="32"/>
        </w:rPr>
        <w:t>开展重点污染源周边地下水环境状况调查</w:t>
      </w:r>
      <w:r>
        <w:rPr>
          <w:rFonts w:hint="eastAsia" w:eastAsia="仿宋_GB2312"/>
          <w:b/>
          <w:bCs/>
          <w:kern w:val="0"/>
          <w:sz w:val="32"/>
          <w:szCs w:val="32"/>
          <w:lang w:bidi="ar"/>
        </w:rPr>
        <w:t>。</w:t>
      </w:r>
      <w:bookmarkEnd w:id="223"/>
      <w:r>
        <w:rPr>
          <w:rFonts w:hint="eastAsia" w:eastAsia="仿宋_GB2312"/>
          <w:kern w:val="0"/>
          <w:sz w:val="32"/>
          <w:szCs w:val="32"/>
          <w:lang w:bidi="ar"/>
        </w:rPr>
        <w:t>以化学品生产企业、化工产业为主导的工业集聚区、垃圾填埋场和危险废物处置场为重点，推进地下水环境状况调查评估工作。按国家和省的统一工作部署，到</w:t>
      </w:r>
      <w:r>
        <w:rPr>
          <w:rFonts w:eastAsia="仿宋_GB2312"/>
          <w:kern w:val="0"/>
          <w:sz w:val="32"/>
          <w:szCs w:val="32"/>
          <w:lang w:bidi="ar"/>
        </w:rPr>
        <w:t>2023</w:t>
      </w:r>
      <w:r>
        <w:rPr>
          <w:rFonts w:hint="eastAsia" w:eastAsia="仿宋_GB2312"/>
          <w:kern w:val="0"/>
          <w:sz w:val="32"/>
          <w:szCs w:val="32"/>
          <w:lang w:bidi="ar"/>
        </w:rPr>
        <w:t>年，完成一批化工产业为主导的工业集聚区、危险废物处置场和垃圾填埋场地下水环境调查评估；</w:t>
      </w:r>
      <w:r>
        <w:rPr>
          <w:rFonts w:eastAsia="仿宋_GB2312"/>
          <w:kern w:val="0"/>
          <w:sz w:val="32"/>
          <w:szCs w:val="32"/>
          <w:lang w:bidi="ar"/>
        </w:rPr>
        <w:t>2025</w:t>
      </w:r>
      <w:r>
        <w:rPr>
          <w:rFonts w:hint="eastAsia" w:eastAsia="仿宋_GB2312"/>
          <w:kern w:val="0"/>
          <w:sz w:val="32"/>
          <w:szCs w:val="32"/>
          <w:lang w:bidi="ar"/>
        </w:rPr>
        <w:t>年底前，完成一批其他污染源地下水环境状况调查评估工作。</w:t>
      </w:r>
    </w:p>
    <w:p>
      <w:pPr>
        <w:pStyle w:val="11"/>
        <w:spacing w:after="0" w:line="590" w:lineRule="exact"/>
        <w:ind w:left="0" w:leftChars="0" w:firstLine="643"/>
        <w:rPr>
          <w:rFonts w:hint="eastAsia"/>
          <w:lang w:bidi="ar"/>
        </w:rPr>
      </w:pPr>
      <w:r>
        <w:rPr>
          <w:rFonts w:hint="eastAsia" w:eastAsia="仿宋_GB2312"/>
          <w:b/>
          <w:bCs/>
          <w:sz w:val="32"/>
          <w:szCs w:val="32"/>
        </w:rPr>
        <w:t>开展典型区域地下水生态环境调查。</w:t>
      </w:r>
      <w:r>
        <w:rPr>
          <w:rFonts w:hint="eastAsia" w:eastAsia="仿宋_GB2312"/>
          <w:sz w:val="32"/>
          <w:szCs w:val="32"/>
        </w:rPr>
        <w:t>按照省的部署，在地下水赋存丰富、地表水系发达、区域开发强度大、敏感点多且集中的区域，开展地下水区域环境状况调查。</w:t>
      </w:r>
    </w:p>
    <w:p>
      <w:pPr>
        <w:widowControl/>
        <w:snapToGrid w:val="0"/>
        <w:spacing w:line="590" w:lineRule="exact"/>
        <w:ind w:firstLine="643" w:firstLineChars="200"/>
        <w:outlineLvl w:val="2"/>
        <w:rPr>
          <w:rFonts w:eastAsia="仿宋_GB2312"/>
          <w:b/>
          <w:bCs/>
          <w:kern w:val="0"/>
          <w:sz w:val="32"/>
          <w:szCs w:val="32"/>
        </w:rPr>
      </w:pPr>
      <w:bookmarkStart w:id="224" w:name="_Toc218"/>
      <w:bookmarkStart w:id="225" w:name="_Toc25864"/>
      <w:bookmarkStart w:id="226" w:name="_Toc91857596"/>
      <w:bookmarkStart w:id="227" w:name="_Toc103710429"/>
      <w:r>
        <w:rPr>
          <w:rFonts w:eastAsia="仿宋_GB2312"/>
          <w:b/>
          <w:bCs/>
          <w:kern w:val="0"/>
          <w:sz w:val="32"/>
          <w:szCs w:val="32"/>
        </w:rPr>
        <w:t>2.</w:t>
      </w:r>
      <w:r>
        <w:rPr>
          <w:rFonts w:hint="eastAsia" w:eastAsia="仿宋_GB2312"/>
          <w:b/>
          <w:bCs/>
          <w:kern w:val="0"/>
          <w:sz w:val="32"/>
          <w:szCs w:val="32"/>
        </w:rPr>
        <w:t>建立地下水生态环境管理体系</w:t>
      </w:r>
      <w:bookmarkEnd w:id="224"/>
      <w:bookmarkEnd w:id="225"/>
      <w:bookmarkEnd w:id="226"/>
      <w:bookmarkEnd w:id="227"/>
    </w:p>
    <w:p>
      <w:pPr>
        <w:pStyle w:val="11"/>
        <w:snapToGrid w:val="0"/>
        <w:spacing w:after="0" w:line="590" w:lineRule="exact"/>
        <w:ind w:left="0" w:leftChars="0" w:firstLine="643"/>
        <w:rPr>
          <w:rFonts w:ascii="楷体" w:hAnsi="楷体" w:eastAsia="楷体" w:cs="楷体"/>
          <w:sz w:val="32"/>
          <w:szCs w:val="32"/>
          <w:lang w:bidi="ar"/>
        </w:rPr>
      </w:pPr>
      <w:r>
        <w:rPr>
          <w:rFonts w:hint="eastAsia" w:ascii="仿宋_GB2312" w:hAnsi="宋体" w:eastAsia="仿宋_GB2312" w:cs="仿宋_GB2312"/>
          <w:b/>
          <w:sz w:val="32"/>
          <w:szCs w:val="32"/>
          <w:lang w:bidi="ar"/>
        </w:rPr>
        <w:t>强化地下水环境质量目标管理。</w:t>
      </w:r>
      <w:r>
        <w:rPr>
          <w:rFonts w:hint="eastAsia" w:ascii="仿宋_GB2312" w:hAnsi="宋体" w:eastAsia="仿宋_GB2312" w:cs="仿宋_GB2312"/>
          <w:sz w:val="32"/>
          <w:szCs w:val="32"/>
          <w:lang w:bidi="ar"/>
        </w:rPr>
        <w:t>针对国家地下水质量考核点位，分析地下水环境质量状况并逐一排查周边污染因素。非地质背景导致未达到水质目标要求的，应制定地下水质量达标或保持（整改）方案，明确防治措施及完成时限。</w:t>
      </w:r>
    </w:p>
    <w:p>
      <w:pPr>
        <w:pStyle w:val="11"/>
        <w:snapToGrid w:val="0"/>
        <w:spacing w:after="0" w:line="590" w:lineRule="exact"/>
        <w:ind w:left="0" w:leftChars="0" w:firstLine="643"/>
        <w:rPr>
          <w:rFonts w:hint="eastAsia" w:ascii="楷体" w:hAnsi="楷体" w:eastAsia="楷体" w:cs="楷体"/>
          <w:sz w:val="32"/>
          <w:szCs w:val="32"/>
          <w:lang w:bidi="ar"/>
        </w:rPr>
      </w:pPr>
      <w:r>
        <w:rPr>
          <w:rFonts w:hint="eastAsia" w:ascii="仿宋_GB2312" w:hAnsi="宋体" w:eastAsia="仿宋_GB2312" w:cs="仿宋_GB2312"/>
          <w:b/>
          <w:bCs/>
          <w:sz w:val="32"/>
          <w:szCs w:val="32"/>
          <w:lang w:bidi="ar"/>
        </w:rPr>
        <w:t>逐步实施地下水环境分区管理。</w:t>
      </w:r>
      <w:r>
        <w:rPr>
          <w:rFonts w:hint="eastAsia" w:ascii="仿宋_GB2312" w:hAnsi="宋体" w:eastAsia="仿宋_GB2312" w:cs="仿宋_GB2312"/>
          <w:sz w:val="32"/>
          <w:szCs w:val="32"/>
          <w:lang w:bidi="ar"/>
        </w:rPr>
        <w:t>按照国家、省的统一部署，推动地下水污染防治重点区划定，逐步实施地下水环境分区管理、分级防治，明确环境准入、隐患排查、风险管控、修复等差别化环境管理要求。</w:t>
      </w:r>
    </w:p>
    <w:p>
      <w:pPr>
        <w:pStyle w:val="11"/>
        <w:snapToGrid w:val="0"/>
        <w:spacing w:after="0" w:line="590" w:lineRule="exact"/>
        <w:ind w:left="0" w:leftChars="0" w:firstLine="643"/>
        <w:rPr>
          <w:rFonts w:hint="eastAsia" w:ascii="仿宋_GB2312" w:hAnsi="宋体" w:eastAsia="仿宋_GB2312" w:cs="仿宋_GB2312"/>
          <w:b/>
          <w:bCs/>
          <w:sz w:val="32"/>
          <w:szCs w:val="32"/>
          <w:lang w:bidi="ar"/>
        </w:rPr>
      </w:pPr>
      <w:r>
        <w:rPr>
          <w:rFonts w:hint="eastAsia" w:ascii="仿宋_GB2312" w:hAnsi="宋体" w:eastAsia="仿宋_GB2312" w:cs="仿宋_GB2312"/>
          <w:b/>
          <w:bCs/>
          <w:sz w:val="32"/>
          <w:szCs w:val="32"/>
          <w:lang w:bidi="ar"/>
        </w:rPr>
        <w:t>建立地下水污染防治重点排污单位名录。</w:t>
      </w:r>
      <w:r>
        <w:rPr>
          <w:rFonts w:hint="eastAsia" w:ascii="仿宋_GB2312" w:hAnsi="宋体" w:eastAsia="仿宋_GB2312" w:cs="仿宋_GB2312"/>
          <w:sz w:val="32"/>
          <w:szCs w:val="32"/>
          <w:lang w:bidi="ar"/>
        </w:rPr>
        <w:t>根据国家和省的要求，落实地下水污染防治重点排污单位名录制度，指导督促企业落实地下水污染防治相关法定要求。</w:t>
      </w:r>
    </w:p>
    <w:p>
      <w:pPr>
        <w:widowControl/>
        <w:snapToGrid w:val="0"/>
        <w:spacing w:line="590" w:lineRule="exact"/>
        <w:ind w:firstLine="643" w:firstLineChars="200"/>
        <w:outlineLvl w:val="2"/>
        <w:rPr>
          <w:rFonts w:hint="eastAsia" w:eastAsia="仿宋_GB2312"/>
          <w:b/>
          <w:bCs/>
          <w:kern w:val="0"/>
          <w:sz w:val="32"/>
          <w:szCs w:val="32"/>
        </w:rPr>
      </w:pPr>
      <w:bookmarkStart w:id="228" w:name="_Toc32449"/>
      <w:bookmarkStart w:id="229" w:name="_Toc76741411"/>
      <w:bookmarkStart w:id="230" w:name="_Toc4477"/>
      <w:bookmarkStart w:id="231" w:name="_Toc7034"/>
      <w:bookmarkStart w:id="232" w:name="_Toc90311712"/>
      <w:bookmarkStart w:id="233" w:name="_Toc91857597"/>
      <w:bookmarkStart w:id="234" w:name="_Toc11657"/>
      <w:bookmarkStart w:id="235" w:name="_Toc14545"/>
      <w:bookmarkStart w:id="236" w:name="_Toc103710430"/>
      <w:r>
        <w:rPr>
          <w:rFonts w:eastAsia="仿宋_GB2312"/>
          <w:b/>
          <w:bCs/>
          <w:kern w:val="0"/>
          <w:sz w:val="32"/>
          <w:szCs w:val="32"/>
        </w:rPr>
        <w:t>3</w:t>
      </w:r>
      <w:bookmarkStart w:id="237" w:name="_Hlk89871243"/>
      <w:r>
        <w:rPr>
          <w:rFonts w:eastAsia="仿宋_GB2312"/>
          <w:b/>
          <w:bCs/>
          <w:kern w:val="0"/>
          <w:sz w:val="32"/>
          <w:szCs w:val="32"/>
        </w:rPr>
        <w:t>.</w:t>
      </w:r>
      <w:r>
        <w:rPr>
          <w:rFonts w:hint="eastAsia" w:eastAsia="仿宋_GB2312"/>
          <w:b/>
          <w:bCs/>
          <w:kern w:val="0"/>
          <w:sz w:val="32"/>
          <w:szCs w:val="32"/>
        </w:rPr>
        <w:t>加强地下水污染源头预防</w:t>
      </w:r>
      <w:bookmarkEnd w:id="228"/>
      <w:bookmarkEnd w:id="229"/>
      <w:bookmarkEnd w:id="230"/>
      <w:bookmarkEnd w:id="231"/>
      <w:bookmarkEnd w:id="232"/>
      <w:bookmarkEnd w:id="233"/>
      <w:bookmarkEnd w:id="237"/>
      <w:r>
        <w:rPr>
          <w:rFonts w:hint="eastAsia" w:eastAsia="仿宋_GB2312"/>
          <w:b/>
          <w:bCs/>
          <w:kern w:val="0"/>
          <w:sz w:val="32"/>
          <w:szCs w:val="32"/>
        </w:rPr>
        <w:t>、风险管控与修复</w:t>
      </w:r>
      <w:bookmarkEnd w:id="234"/>
      <w:bookmarkEnd w:id="235"/>
      <w:bookmarkEnd w:id="236"/>
    </w:p>
    <w:p>
      <w:pPr>
        <w:widowControl/>
        <w:snapToGrid w:val="0"/>
        <w:spacing w:line="590" w:lineRule="exact"/>
        <w:ind w:firstLine="643" w:firstLineChars="200"/>
        <w:rPr>
          <w:rFonts w:ascii="楷体" w:hAnsi="楷体" w:eastAsia="楷体" w:cs="楷体"/>
          <w:kern w:val="0"/>
          <w:sz w:val="32"/>
          <w:szCs w:val="32"/>
          <w:lang w:bidi="ar"/>
        </w:rPr>
      </w:pPr>
      <w:r>
        <w:rPr>
          <w:rFonts w:hint="eastAsia" w:ascii="仿宋_GB2312" w:hAnsi="仿宋_GB2312" w:eastAsia="仿宋_GB2312" w:cs="仿宋_GB2312"/>
          <w:b/>
          <w:bCs/>
          <w:kern w:val="0"/>
          <w:sz w:val="32"/>
          <w:szCs w:val="32"/>
        </w:rPr>
        <w:t>落实地下水污染源防渗和监测措施。</w:t>
      </w:r>
      <w:r>
        <w:rPr>
          <w:rFonts w:hint="eastAsia" w:ascii="仿宋_GB2312" w:hAnsi="仿宋_GB2312" w:eastAsia="仿宋_GB2312" w:cs="仿宋_GB2312"/>
          <w:kern w:val="0"/>
          <w:sz w:val="32"/>
          <w:szCs w:val="32"/>
        </w:rPr>
        <w:t>督</w:t>
      </w:r>
      <w:r>
        <w:rPr>
          <w:rFonts w:hint="eastAsia" w:ascii="仿宋_GB2312" w:hAnsi="仿宋_GB2312" w:eastAsia="仿宋_GB2312" w:cs="仿宋_GB2312"/>
          <w:kern w:val="0"/>
          <w:sz w:val="32"/>
          <w:szCs w:val="32"/>
          <w:lang w:bidi="ar"/>
        </w:rPr>
        <w:t>促化学品生产企业以及工业集聚区、危险废物处置场、垃圾填埋场等采取防渗漏等措施，按要求推进地下水重点污染源建设地下水水质监测井，依法</w:t>
      </w:r>
      <w:r>
        <w:rPr>
          <w:rFonts w:hint="eastAsia" w:ascii="仿宋_GB2312" w:hAnsi="仿宋_GB2312" w:eastAsia="仿宋_GB2312" w:cs="仿宋_GB2312"/>
          <w:kern w:val="0"/>
          <w:sz w:val="32"/>
          <w:szCs w:val="32"/>
        </w:rPr>
        <w:t>开展地下水环境自行监测。指导地下水污染防治重点排污单位优先开展地下水污染渗漏排查，针对存在问题的设施，采取污染防渗改造措施。开展地下水污染防治重点排污单位周边地下水环境监测。</w:t>
      </w:r>
    </w:p>
    <w:p>
      <w:pPr>
        <w:widowControl/>
        <w:snapToGrid w:val="0"/>
        <w:spacing w:line="564" w:lineRule="exact"/>
        <w:ind w:firstLine="643" w:firstLineChars="200"/>
        <w:rPr>
          <w:rFonts w:hint="eastAsia" w:ascii="楷体" w:hAnsi="楷体" w:eastAsia="楷体" w:cs="楷体"/>
          <w:kern w:val="0"/>
          <w:sz w:val="32"/>
          <w:szCs w:val="32"/>
          <w:lang w:bidi="ar"/>
        </w:rPr>
      </w:pPr>
      <w:r>
        <w:rPr>
          <w:rFonts w:hint="eastAsia" w:ascii="仿宋_GB2312" w:hAnsi="仿宋_GB2312" w:eastAsia="仿宋_GB2312" w:cs="仿宋_GB2312"/>
          <w:b/>
          <w:kern w:val="0"/>
          <w:sz w:val="32"/>
          <w:szCs w:val="32"/>
          <w:lang w:bidi="ar"/>
        </w:rPr>
        <w:t>有序实施地下水污染风险管控和修复。</w:t>
      </w:r>
      <w:r>
        <w:rPr>
          <w:rFonts w:hint="eastAsia" w:ascii="仿宋_GB2312" w:hAnsi="仿宋_GB2312" w:eastAsia="仿宋_GB2312" w:cs="仿宋_GB2312"/>
          <w:kern w:val="0"/>
          <w:sz w:val="32"/>
          <w:szCs w:val="20"/>
        </w:rPr>
        <w:t>按照省的部署，针对存在地下水污染的化工园区、危险废物处置场和生活垃圾填埋场等，实施地下水污染风险管控，防止地下水污染扩散</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20"/>
        </w:rPr>
        <w:t>因地制宜探索地下水污染风险管控和治理修复模式。加强地下水污染风险管控和修复效果评估及后期监管。</w:t>
      </w:r>
    </w:p>
    <w:bookmarkEnd w:id="219"/>
    <w:bookmarkEnd w:id="220"/>
    <w:bookmarkEnd w:id="221"/>
    <w:p>
      <w:pPr>
        <w:pStyle w:val="3"/>
        <w:snapToGrid w:val="0"/>
        <w:spacing w:before="0" w:after="0" w:line="564" w:lineRule="exact"/>
        <w:ind w:firstLine="643" w:firstLineChars="200"/>
        <w:jc w:val="both"/>
        <w:rPr>
          <w:rFonts w:hint="eastAsia" w:ascii="Times New Roman" w:hAnsi="Times New Roman" w:cs="Times New Roman"/>
          <w:sz w:val="32"/>
        </w:rPr>
      </w:pPr>
      <w:bookmarkStart w:id="238" w:name="_Toc76741416"/>
      <w:bookmarkStart w:id="239" w:name="_Toc32056"/>
      <w:bookmarkStart w:id="240" w:name="_Toc19304"/>
      <w:bookmarkStart w:id="241" w:name="_Toc72534756"/>
      <w:bookmarkStart w:id="242" w:name="_Toc91857602"/>
      <w:bookmarkStart w:id="243" w:name="_Toc19440"/>
      <w:bookmarkStart w:id="244" w:name="_Toc72621563"/>
      <w:bookmarkStart w:id="245" w:name="_Toc103710431"/>
      <w:bookmarkStart w:id="246" w:name="_Toc7549"/>
      <w:bookmarkStart w:id="247" w:name="_Toc26377"/>
      <w:bookmarkStart w:id="248" w:name="_Toc90311717"/>
      <w:r>
        <w:rPr>
          <w:rFonts w:hint="eastAsia" w:ascii="Times New Roman" w:hAnsi="Times New Roman"/>
          <w:sz w:val="32"/>
        </w:rPr>
        <w:t>（三）全面提升监管与支撑能力</w:t>
      </w:r>
      <w:bookmarkEnd w:id="238"/>
      <w:bookmarkEnd w:id="239"/>
      <w:bookmarkEnd w:id="240"/>
      <w:bookmarkEnd w:id="241"/>
      <w:bookmarkEnd w:id="242"/>
      <w:bookmarkEnd w:id="243"/>
      <w:bookmarkEnd w:id="244"/>
      <w:bookmarkEnd w:id="245"/>
      <w:bookmarkEnd w:id="246"/>
      <w:bookmarkEnd w:id="247"/>
      <w:bookmarkEnd w:id="248"/>
    </w:p>
    <w:p>
      <w:pPr>
        <w:widowControl/>
        <w:snapToGrid w:val="0"/>
        <w:spacing w:line="564" w:lineRule="exact"/>
        <w:ind w:firstLine="643" w:firstLineChars="200"/>
        <w:outlineLvl w:val="2"/>
        <w:rPr>
          <w:rFonts w:eastAsia="仿宋_GB2312"/>
          <w:kern w:val="0"/>
          <w:sz w:val="32"/>
          <w:szCs w:val="32"/>
        </w:rPr>
      </w:pPr>
      <w:bookmarkStart w:id="249" w:name="_Toc72621564"/>
      <w:bookmarkStart w:id="250" w:name="_Toc18236"/>
      <w:bookmarkStart w:id="251" w:name="_Toc76741417"/>
      <w:bookmarkStart w:id="252" w:name="_Toc72534757"/>
      <w:bookmarkStart w:id="253" w:name="_Toc91857603"/>
      <w:bookmarkStart w:id="254" w:name="_Toc10257"/>
      <w:bookmarkStart w:id="255" w:name="_Toc23273"/>
      <w:bookmarkStart w:id="256" w:name="_Toc90311718"/>
      <w:bookmarkStart w:id="257" w:name="_Toc103710432"/>
      <w:bookmarkStart w:id="258" w:name="_Toc23707"/>
      <w:bookmarkStart w:id="259" w:name="_Toc24861"/>
      <w:r>
        <w:rPr>
          <w:rFonts w:eastAsia="仿宋_GB2312"/>
          <w:b/>
          <w:bCs/>
          <w:kern w:val="0"/>
          <w:sz w:val="32"/>
          <w:szCs w:val="32"/>
        </w:rPr>
        <w:t>1.</w:t>
      </w:r>
      <w:r>
        <w:rPr>
          <w:rFonts w:hint="eastAsia" w:eastAsia="仿宋_GB2312"/>
          <w:b/>
          <w:bCs/>
          <w:kern w:val="0"/>
          <w:sz w:val="32"/>
          <w:szCs w:val="32"/>
        </w:rPr>
        <w:t>完善</w:t>
      </w:r>
      <w:bookmarkEnd w:id="249"/>
      <w:bookmarkEnd w:id="250"/>
      <w:bookmarkEnd w:id="251"/>
      <w:bookmarkEnd w:id="252"/>
      <w:r>
        <w:rPr>
          <w:rFonts w:hint="eastAsia" w:eastAsia="仿宋_GB2312"/>
          <w:b/>
          <w:bCs/>
          <w:kern w:val="0"/>
          <w:sz w:val="32"/>
          <w:szCs w:val="32"/>
        </w:rPr>
        <w:t>管理制度体系</w:t>
      </w:r>
      <w:bookmarkEnd w:id="253"/>
      <w:bookmarkEnd w:id="254"/>
      <w:bookmarkEnd w:id="255"/>
      <w:bookmarkEnd w:id="256"/>
      <w:bookmarkEnd w:id="257"/>
      <w:bookmarkEnd w:id="258"/>
      <w:bookmarkEnd w:id="259"/>
    </w:p>
    <w:p>
      <w:pPr>
        <w:widowControl/>
        <w:snapToGrid w:val="0"/>
        <w:spacing w:line="564" w:lineRule="exact"/>
        <w:ind w:firstLine="640" w:firstLineChars="200"/>
        <w:rPr>
          <w:rFonts w:eastAsia="楷体_GB2312"/>
          <w:kern w:val="0"/>
          <w:sz w:val="32"/>
          <w:szCs w:val="32"/>
        </w:rPr>
      </w:pPr>
      <w:r>
        <w:rPr>
          <w:rFonts w:hint="eastAsia" w:eastAsia="仿宋_GB2312"/>
          <w:kern w:val="0"/>
          <w:sz w:val="32"/>
          <w:szCs w:val="32"/>
        </w:rPr>
        <w:t>各相关部门按照国家、省发布的土壤、地下水污染防治的规章、规范性文件等制定我市相应的管理制度或实施意见。结合广州市实际，探索土壤污染重点监管单位监管等相关技术指引或管理规定。探索建立关闭重点行业企业用地土壤污染风险分级与再开发利用管理清单。推动已发布的建设用地土壤污染防治系列标准落地实施。</w:t>
      </w:r>
    </w:p>
    <w:p>
      <w:pPr>
        <w:widowControl/>
        <w:snapToGrid w:val="0"/>
        <w:spacing w:line="564" w:lineRule="exact"/>
        <w:ind w:firstLine="643" w:firstLineChars="200"/>
        <w:outlineLvl w:val="2"/>
        <w:rPr>
          <w:rFonts w:eastAsia="仿宋_GB2312"/>
          <w:b/>
          <w:bCs/>
          <w:kern w:val="0"/>
          <w:sz w:val="32"/>
          <w:szCs w:val="32"/>
        </w:rPr>
      </w:pPr>
      <w:bookmarkStart w:id="260" w:name="_Toc72621565"/>
      <w:bookmarkStart w:id="261" w:name="_Toc8287"/>
      <w:bookmarkStart w:id="262" w:name="_Toc2124"/>
      <w:bookmarkStart w:id="263" w:name="_Toc103710433"/>
      <w:bookmarkStart w:id="264" w:name="_Toc91857604"/>
      <w:bookmarkStart w:id="265" w:name="_Toc17322"/>
      <w:bookmarkStart w:id="266" w:name="_Toc76741418"/>
      <w:bookmarkStart w:id="267" w:name="_Toc72534758"/>
      <w:bookmarkStart w:id="268" w:name="_Toc12744"/>
      <w:bookmarkStart w:id="269" w:name="_Toc14033"/>
      <w:bookmarkStart w:id="270" w:name="_Toc90311719"/>
      <w:r>
        <w:rPr>
          <w:rFonts w:eastAsia="仿宋_GB2312"/>
          <w:b/>
          <w:bCs/>
          <w:kern w:val="0"/>
          <w:sz w:val="32"/>
          <w:szCs w:val="32"/>
        </w:rPr>
        <w:t>2.</w:t>
      </w:r>
      <w:r>
        <w:rPr>
          <w:rFonts w:hint="eastAsia" w:eastAsia="仿宋_GB2312"/>
          <w:b/>
          <w:bCs/>
          <w:kern w:val="0"/>
          <w:sz w:val="32"/>
          <w:szCs w:val="32"/>
        </w:rPr>
        <w:t>优化环境监测网络</w:t>
      </w:r>
      <w:bookmarkEnd w:id="260"/>
      <w:bookmarkEnd w:id="261"/>
      <w:bookmarkEnd w:id="262"/>
      <w:bookmarkEnd w:id="263"/>
      <w:bookmarkEnd w:id="264"/>
      <w:bookmarkEnd w:id="265"/>
      <w:bookmarkEnd w:id="266"/>
      <w:bookmarkEnd w:id="267"/>
      <w:bookmarkEnd w:id="268"/>
      <w:bookmarkEnd w:id="269"/>
      <w:bookmarkEnd w:id="270"/>
    </w:p>
    <w:p>
      <w:pPr>
        <w:widowControl/>
        <w:snapToGrid w:val="0"/>
        <w:spacing w:line="564" w:lineRule="exact"/>
        <w:ind w:firstLine="640" w:firstLineChars="200"/>
        <w:rPr>
          <w:rFonts w:eastAsia="仿宋"/>
          <w:kern w:val="0"/>
          <w:sz w:val="28"/>
          <w:szCs w:val="20"/>
        </w:rPr>
      </w:pPr>
      <w:r>
        <w:rPr>
          <w:rFonts w:hint="eastAsia" w:eastAsia="仿宋_GB2312"/>
          <w:kern w:val="0"/>
          <w:sz w:val="32"/>
          <w:szCs w:val="32"/>
        </w:rPr>
        <w:t>按照国家和省的统一部署，动态优化完善土壤环境质量监测点位布设，规范背景点位、基础点位和风险点位例行监测；将监测网络建设与土壤污染状况详查有效衔接，将农用地、建设用地重点地块监测纳入土壤环境质量动态监测网络。</w:t>
      </w:r>
      <w:r>
        <w:rPr>
          <w:rFonts w:hint="eastAsia" w:ascii="仿宋_GB2312" w:hAnsi="仿宋_GB2312" w:eastAsia="仿宋_GB2312" w:cs="仿宋_GB2312"/>
          <w:kern w:val="0"/>
          <w:sz w:val="32"/>
          <w:szCs w:val="32"/>
        </w:rPr>
        <w:t>加强农田灌溉水监测</w:t>
      </w:r>
      <w:r>
        <w:rPr>
          <w:rFonts w:hint="eastAsia" w:eastAsia="仿宋_GB2312"/>
          <w:kern w:val="0"/>
          <w:sz w:val="32"/>
          <w:szCs w:val="32"/>
        </w:rPr>
        <w:t>，在</w:t>
      </w:r>
      <w:r>
        <w:rPr>
          <w:rFonts w:eastAsia="仿宋_GB2312"/>
          <w:kern w:val="0"/>
          <w:sz w:val="32"/>
          <w:szCs w:val="32"/>
        </w:rPr>
        <w:t>10</w:t>
      </w:r>
      <w:r>
        <w:rPr>
          <w:rFonts w:hint="eastAsia" w:eastAsia="仿宋_GB2312"/>
          <w:kern w:val="0"/>
          <w:sz w:val="32"/>
          <w:szCs w:val="32"/>
        </w:rPr>
        <w:t>万亩以上灌区开展长期监测，必要时加大对安全利用类和严格管控类耕地灌溉水的监测频次。根据国家和省的要求，</w:t>
      </w:r>
      <w:r>
        <w:rPr>
          <w:rFonts w:hint="eastAsia" w:ascii="仿宋_GB2312" w:hAnsi="仿宋_GB2312" w:eastAsia="仿宋_GB2312" w:cs="仿宋_GB2312"/>
          <w:kern w:val="0"/>
          <w:sz w:val="32"/>
          <w:szCs w:val="32"/>
        </w:rPr>
        <w:t>建立</w:t>
      </w:r>
      <w:r>
        <w:rPr>
          <w:rFonts w:hint="eastAsia" w:eastAsia="仿宋_GB2312"/>
          <w:kern w:val="0"/>
          <w:sz w:val="32"/>
          <w:szCs w:val="32"/>
        </w:rPr>
        <w:t>区域监管和“双源”监控相结合的</w:t>
      </w:r>
      <w:r>
        <w:rPr>
          <w:rFonts w:hint="eastAsia" w:ascii="仿宋_GB2312" w:hAnsi="仿宋_GB2312" w:eastAsia="仿宋_GB2312" w:cs="仿宋_GB2312"/>
          <w:kern w:val="0"/>
          <w:sz w:val="32"/>
          <w:szCs w:val="32"/>
        </w:rPr>
        <w:t>地下水环境监测网，</w:t>
      </w:r>
      <w:r>
        <w:rPr>
          <w:rFonts w:hint="eastAsia" w:eastAsia="仿宋_GB2312"/>
          <w:kern w:val="0"/>
          <w:sz w:val="32"/>
          <w:szCs w:val="32"/>
        </w:rPr>
        <w:t>规范建设地下水环境监测井，加强现有监测井的运行维护和管理，推进地下水“一张图”管理。</w:t>
      </w:r>
    </w:p>
    <w:p>
      <w:pPr>
        <w:widowControl/>
        <w:snapToGrid w:val="0"/>
        <w:spacing w:line="564" w:lineRule="exact"/>
        <w:ind w:firstLine="643" w:firstLineChars="200"/>
        <w:outlineLvl w:val="2"/>
        <w:rPr>
          <w:rFonts w:eastAsia="仿宋_GB2312"/>
          <w:b/>
          <w:bCs/>
          <w:kern w:val="0"/>
          <w:sz w:val="32"/>
          <w:szCs w:val="32"/>
        </w:rPr>
      </w:pPr>
      <w:bookmarkStart w:id="271" w:name="_Toc91857605"/>
      <w:bookmarkStart w:id="272" w:name="_Toc90311720"/>
      <w:bookmarkStart w:id="273" w:name="_Toc22636"/>
      <w:bookmarkStart w:id="274" w:name="_Toc32669"/>
      <w:bookmarkStart w:id="275" w:name="_Toc11754"/>
      <w:bookmarkStart w:id="276" w:name="_Toc76741419"/>
      <w:bookmarkStart w:id="277" w:name="_Toc103710434"/>
      <w:bookmarkStart w:id="278" w:name="_Toc6858"/>
      <w:bookmarkStart w:id="279" w:name="_Toc26380"/>
      <w:bookmarkStart w:id="280" w:name="_Toc72534759"/>
      <w:bookmarkStart w:id="281" w:name="_Toc72621566"/>
      <w:r>
        <w:rPr>
          <w:rFonts w:eastAsia="仿宋_GB2312"/>
          <w:b/>
          <w:bCs/>
          <w:kern w:val="0"/>
          <w:sz w:val="32"/>
          <w:szCs w:val="32"/>
        </w:rPr>
        <w:t>3.</w:t>
      </w:r>
      <w:r>
        <w:rPr>
          <w:rFonts w:hint="eastAsia" w:eastAsia="仿宋_GB2312"/>
          <w:b/>
          <w:bCs/>
          <w:kern w:val="0"/>
          <w:sz w:val="32"/>
          <w:szCs w:val="32"/>
        </w:rPr>
        <w:t>提升生态环境监管</w:t>
      </w:r>
      <w:bookmarkEnd w:id="271"/>
      <w:bookmarkEnd w:id="272"/>
      <w:bookmarkEnd w:id="273"/>
      <w:bookmarkEnd w:id="274"/>
      <w:bookmarkEnd w:id="275"/>
      <w:bookmarkEnd w:id="276"/>
      <w:r>
        <w:rPr>
          <w:rFonts w:hint="eastAsia" w:eastAsia="仿宋_GB2312"/>
          <w:b/>
          <w:bCs/>
          <w:kern w:val="0"/>
          <w:sz w:val="32"/>
          <w:szCs w:val="32"/>
        </w:rPr>
        <w:t>能力</w:t>
      </w:r>
      <w:bookmarkEnd w:id="277"/>
      <w:bookmarkEnd w:id="278"/>
      <w:bookmarkEnd w:id="279"/>
    </w:p>
    <w:p>
      <w:pPr>
        <w:widowControl/>
        <w:snapToGrid w:val="0"/>
        <w:spacing w:line="564" w:lineRule="exact"/>
        <w:ind w:firstLine="640" w:firstLineChars="200"/>
        <w:rPr>
          <w:rFonts w:eastAsia="仿宋_GB2312"/>
          <w:kern w:val="0"/>
          <w:sz w:val="32"/>
          <w:szCs w:val="32"/>
        </w:rPr>
      </w:pPr>
      <w:r>
        <w:rPr>
          <w:rFonts w:hint="eastAsia" w:eastAsia="仿宋_GB2312"/>
          <w:kern w:val="0"/>
          <w:sz w:val="32"/>
          <w:szCs w:val="32"/>
        </w:rPr>
        <w:t>加强土壤、地下水生态环境监测执法能力建设，提升执法装备水平。强化基层人员队伍建设，鼓励设立土壤、地下水生态环境监管技术支撑团队，加强土壤、地下水生态环境污染防治专业技术培训和技术帮扶，提高专业人员素质和技能。按照省的部署，积极应用广东省行政执法信息平台和行政执法监督网络平台，推进土壤与地下水污染防治行政执法信息化、智能化和规范化。</w:t>
      </w:r>
      <w:r>
        <w:rPr>
          <w:rFonts w:eastAsia="仿宋_GB2312"/>
          <w:kern w:val="0"/>
          <w:sz w:val="32"/>
          <w:szCs w:val="20"/>
        </w:rPr>
        <w:t>按照省的统一部署和要求，以重点行业企业用地调查、地块土壤污染状况调查、土壤污染重点监管单位周边监测等数据为基础，按照“一地一档”原则，依托广东省</w:t>
      </w:r>
      <w:r>
        <w:rPr>
          <w:rFonts w:eastAsia="仿宋_GB2312"/>
          <w:kern w:val="0"/>
          <w:sz w:val="32"/>
          <w:szCs w:val="32"/>
        </w:rPr>
        <w:t>土壤与地下水环境</w:t>
      </w:r>
      <w:r>
        <w:rPr>
          <w:rFonts w:eastAsia="仿宋_GB2312"/>
          <w:kern w:val="0"/>
          <w:sz w:val="32"/>
          <w:szCs w:val="20"/>
        </w:rPr>
        <w:t>信息平台</w:t>
      </w:r>
      <w:r>
        <w:rPr>
          <w:rFonts w:eastAsia="仿宋_GB2312"/>
          <w:kern w:val="0"/>
          <w:sz w:val="32"/>
          <w:szCs w:val="32"/>
        </w:rPr>
        <w:t>，落实</w:t>
      </w:r>
      <w:r>
        <w:rPr>
          <w:rFonts w:eastAsia="仿宋_GB2312"/>
          <w:kern w:val="0"/>
          <w:sz w:val="32"/>
          <w:szCs w:val="20"/>
        </w:rPr>
        <w:t>建设用地土壤环境信息档案建立的具体任务内容</w:t>
      </w:r>
      <w:r>
        <w:rPr>
          <w:rFonts w:eastAsia="仿宋_GB2312"/>
          <w:kern w:val="0"/>
          <w:sz w:val="32"/>
          <w:szCs w:val="32"/>
        </w:rPr>
        <w:t>。</w:t>
      </w:r>
    </w:p>
    <w:p>
      <w:pPr>
        <w:widowControl/>
        <w:snapToGrid w:val="0"/>
        <w:spacing w:line="564" w:lineRule="exact"/>
        <w:ind w:firstLine="643" w:firstLineChars="200"/>
        <w:outlineLvl w:val="2"/>
        <w:rPr>
          <w:rFonts w:eastAsia="仿宋_GB2312"/>
          <w:b/>
          <w:bCs/>
          <w:kern w:val="0"/>
          <w:sz w:val="32"/>
          <w:szCs w:val="32"/>
        </w:rPr>
      </w:pPr>
      <w:bookmarkStart w:id="282" w:name="_Toc7832"/>
      <w:bookmarkStart w:id="283" w:name="_Toc7896"/>
      <w:bookmarkStart w:id="284" w:name="_Toc103710435"/>
      <w:r>
        <w:rPr>
          <w:rFonts w:eastAsia="仿宋_GB2312"/>
          <w:b/>
          <w:bCs/>
          <w:kern w:val="0"/>
          <w:sz w:val="32"/>
          <w:szCs w:val="32"/>
        </w:rPr>
        <w:t>4.</w:t>
      </w:r>
      <w:r>
        <w:rPr>
          <w:rFonts w:hint="eastAsia" w:eastAsia="仿宋_GB2312"/>
          <w:b/>
          <w:bCs/>
          <w:kern w:val="0"/>
          <w:sz w:val="32"/>
          <w:szCs w:val="32"/>
        </w:rPr>
        <w:t>强化生态环境监管执法</w:t>
      </w:r>
      <w:bookmarkEnd w:id="282"/>
      <w:bookmarkEnd w:id="283"/>
      <w:bookmarkEnd w:id="284"/>
    </w:p>
    <w:p>
      <w:pPr>
        <w:pStyle w:val="11"/>
        <w:spacing w:after="0" w:line="564" w:lineRule="exact"/>
        <w:ind w:left="0" w:leftChars="0" w:firstLine="640"/>
      </w:pPr>
      <w:r>
        <w:rPr>
          <w:rFonts w:hint="eastAsia" w:eastAsia="仿宋_GB2312"/>
          <w:sz w:val="32"/>
          <w:szCs w:val="32"/>
        </w:rPr>
        <w:t>强化地块风险管控和修复活动监管。依法将土壤污染风险管控、修复活动纳入日常监督管理，开展“双随机一公开”执法检查。完善土壤污染状况调查、风险管控和修复效果评估监测质量监督制度。加强对工业固废、危废非法倾倒或填埋以及废水地下偷排等违法行为执法检查，严厉打击利用渗井、渗坑、裂隙、溶洞向地下水排放污染物的行为，对涉嫌环境污染犯罪的，及时移送至司法机关。开展污染土壤生态环境损害赔偿调查，依法依规对造成土壤、地下水生态环境损害的情形开展索赔追偿。定期开展监管执法工作培训，提升基层执法能力。</w:t>
      </w:r>
    </w:p>
    <w:p>
      <w:pPr>
        <w:widowControl/>
        <w:snapToGrid w:val="0"/>
        <w:spacing w:line="564" w:lineRule="exact"/>
        <w:ind w:firstLine="643" w:firstLineChars="200"/>
        <w:outlineLvl w:val="2"/>
        <w:rPr>
          <w:rFonts w:eastAsia="仿宋_GB2312"/>
          <w:b/>
          <w:bCs/>
          <w:kern w:val="0"/>
          <w:sz w:val="32"/>
          <w:szCs w:val="32"/>
        </w:rPr>
      </w:pPr>
      <w:bookmarkStart w:id="285" w:name="_Toc91857606"/>
      <w:bookmarkStart w:id="286" w:name="_Toc23665"/>
      <w:bookmarkStart w:id="287" w:name="_Toc90311721"/>
      <w:bookmarkStart w:id="288" w:name="_Toc103710436"/>
      <w:bookmarkStart w:id="289" w:name="_Toc15892"/>
      <w:bookmarkStart w:id="290" w:name="_Toc76741420"/>
      <w:bookmarkStart w:id="291" w:name="_Toc12114"/>
      <w:bookmarkStart w:id="292" w:name="_Toc894"/>
      <w:bookmarkStart w:id="293" w:name="_Toc18540"/>
      <w:r>
        <w:rPr>
          <w:rFonts w:eastAsia="仿宋_GB2312"/>
          <w:b/>
          <w:bCs/>
          <w:kern w:val="0"/>
          <w:sz w:val="32"/>
          <w:szCs w:val="32"/>
        </w:rPr>
        <w:t>5.</w:t>
      </w:r>
      <w:r>
        <w:rPr>
          <w:rFonts w:hint="eastAsia" w:eastAsia="仿宋_GB2312"/>
          <w:b/>
          <w:bCs/>
          <w:kern w:val="0"/>
          <w:sz w:val="32"/>
          <w:szCs w:val="32"/>
        </w:rPr>
        <w:t>强化污染防治科技支撑能力</w:t>
      </w:r>
      <w:bookmarkEnd w:id="280"/>
      <w:bookmarkEnd w:id="281"/>
      <w:bookmarkEnd w:id="285"/>
      <w:bookmarkEnd w:id="286"/>
      <w:bookmarkEnd w:id="287"/>
      <w:bookmarkEnd w:id="288"/>
      <w:bookmarkEnd w:id="289"/>
      <w:bookmarkEnd w:id="290"/>
      <w:bookmarkEnd w:id="291"/>
      <w:bookmarkEnd w:id="292"/>
      <w:bookmarkEnd w:id="293"/>
    </w:p>
    <w:p>
      <w:pPr>
        <w:widowControl/>
        <w:tabs>
          <w:tab w:val="left" w:pos="5954"/>
        </w:tabs>
        <w:snapToGrid w:val="0"/>
        <w:spacing w:line="564" w:lineRule="exact"/>
        <w:ind w:firstLine="640" w:firstLineChars="200"/>
        <w:rPr>
          <w:rFonts w:eastAsia="楷体_GB2312"/>
          <w:kern w:val="0"/>
          <w:sz w:val="32"/>
          <w:szCs w:val="32"/>
        </w:rPr>
      </w:pPr>
      <w:r>
        <w:rPr>
          <w:rFonts w:hint="eastAsia" w:eastAsia="仿宋_GB2312"/>
          <w:kern w:val="0"/>
          <w:sz w:val="32"/>
          <w:szCs w:val="32"/>
        </w:rPr>
        <w:t>通过国家、省、市相关科技计划（专项、基金）等，积极探索土壤和地下水污染风险管控、治理修复以及污染土壤资源化安全利用等关键技术。</w:t>
      </w:r>
    </w:p>
    <w:p>
      <w:pPr>
        <w:widowControl/>
        <w:snapToGrid w:val="0"/>
        <w:spacing w:line="564" w:lineRule="exact"/>
        <w:ind w:firstLine="643" w:firstLineChars="200"/>
        <w:outlineLvl w:val="2"/>
        <w:rPr>
          <w:rFonts w:eastAsia="仿宋_GB2312"/>
          <w:b/>
          <w:bCs/>
          <w:kern w:val="0"/>
          <w:sz w:val="32"/>
          <w:szCs w:val="32"/>
        </w:rPr>
      </w:pPr>
      <w:bookmarkStart w:id="294" w:name="_Toc15221"/>
      <w:bookmarkStart w:id="295" w:name="_Toc17604"/>
      <w:bookmarkStart w:id="296" w:name="_Toc72621568"/>
      <w:bookmarkStart w:id="297" w:name="_Toc23587"/>
      <w:bookmarkStart w:id="298" w:name="_Toc72534761"/>
      <w:bookmarkStart w:id="299" w:name="_Toc11864"/>
      <w:bookmarkStart w:id="300" w:name="_Toc90311722"/>
      <w:bookmarkStart w:id="301" w:name="_Toc103710437"/>
      <w:bookmarkStart w:id="302" w:name="_Toc76741421"/>
      <w:bookmarkStart w:id="303" w:name="_Toc91857607"/>
      <w:bookmarkStart w:id="304" w:name="_Toc14017"/>
      <w:r>
        <w:rPr>
          <w:rFonts w:eastAsia="仿宋_GB2312"/>
          <w:b/>
          <w:bCs/>
          <w:kern w:val="0"/>
          <w:sz w:val="32"/>
          <w:szCs w:val="32"/>
        </w:rPr>
        <w:t>6.</w:t>
      </w:r>
      <w:r>
        <w:rPr>
          <w:rFonts w:hint="eastAsia" w:eastAsia="仿宋_GB2312"/>
          <w:b/>
          <w:bCs/>
          <w:kern w:val="0"/>
          <w:sz w:val="32"/>
          <w:szCs w:val="32"/>
        </w:rPr>
        <w:t>规范风险管控与修复行业良性发展</w:t>
      </w:r>
      <w:bookmarkEnd w:id="294"/>
      <w:bookmarkEnd w:id="295"/>
      <w:bookmarkEnd w:id="296"/>
      <w:bookmarkEnd w:id="297"/>
      <w:bookmarkEnd w:id="298"/>
      <w:bookmarkEnd w:id="299"/>
      <w:bookmarkEnd w:id="300"/>
      <w:bookmarkEnd w:id="301"/>
      <w:bookmarkEnd w:id="302"/>
      <w:bookmarkEnd w:id="303"/>
      <w:bookmarkEnd w:id="304"/>
    </w:p>
    <w:p>
      <w:pPr>
        <w:widowControl/>
        <w:snapToGrid w:val="0"/>
        <w:spacing w:line="564" w:lineRule="exact"/>
        <w:ind w:firstLine="640" w:firstLineChars="200"/>
        <w:rPr>
          <w:rFonts w:eastAsia="楷体_GB2312"/>
          <w:kern w:val="0"/>
          <w:sz w:val="32"/>
          <w:szCs w:val="32"/>
        </w:rPr>
      </w:pPr>
      <w:r>
        <w:rPr>
          <w:rFonts w:hint="eastAsia" w:eastAsia="仿宋_GB2312"/>
          <w:kern w:val="0"/>
          <w:sz w:val="32"/>
          <w:szCs w:val="32"/>
        </w:rPr>
        <w:t>综合应用大数据核查比对、信息公开、信用管理等手段，强化对从业单位开展调查评估、治理修复与风险管控等活动的监管。强化信用管理，及时将单位和个人环境违法信息推送至信用平台并依法向社会公布。生态环境部门按照有关规定，将建设用地土壤污染状况调查、风险评估、风险管控效果评估、修复效果评估等报告的评审通过情况向社会公开。</w:t>
      </w:r>
    </w:p>
    <w:p>
      <w:pPr>
        <w:pStyle w:val="2"/>
        <w:snapToGrid w:val="0"/>
        <w:spacing w:before="0" w:after="0" w:line="564" w:lineRule="exact"/>
        <w:ind w:firstLine="640" w:firstLineChars="200"/>
        <w:jc w:val="both"/>
        <w:rPr>
          <w:rFonts w:eastAsia="黑体"/>
          <w:b w:val="0"/>
          <w:bCs w:val="0"/>
          <w:szCs w:val="32"/>
        </w:rPr>
      </w:pPr>
      <w:bookmarkStart w:id="305" w:name="_Toc68197168"/>
      <w:bookmarkStart w:id="306" w:name="_Toc72534763"/>
      <w:bookmarkStart w:id="307" w:name="_Toc91857608"/>
      <w:bookmarkStart w:id="308" w:name="_Toc9755"/>
      <w:bookmarkStart w:id="309" w:name="_Toc72621570"/>
      <w:bookmarkStart w:id="310" w:name="_Toc103710438"/>
      <w:bookmarkStart w:id="311" w:name="_Toc18836"/>
      <w:bookmarkStart w:id="312" w:name="_Toc90311723"/>
      <w:bookmarkStart w:id="313" w:name="_Toc12612"/>
      <w:bookmarkStart w:id="314" w:name="_Toc11004"/>
      <w:bookmarkStart w:id="315" w:name="_Toc17437"/>
      <w:bookmarkStart w:id="316" w:name="_Toc76741422"/>
      <w:r>
        <w:rPr>
          <w:rFonts w:hint="eastAsia" w:eastAsia="黑体"/>
          <w:b w:val="0"/>
          <w:bCs w:val="0"/>
          <w:szCs w:val="32"/>
        </w:rPr>
        <w:t>四、重点工程</w:t>
      </w:r>
      <w:bookmarkEnd w:id="305"/>
      <w:bookmarkEnd w:id="306"/>
      <w:bookmarkEnd w:id="307"/>
      <w:bookmarkEnd w:id="308"/>
      <w:bookmarkEnd w:id="309"/>
      <w:bookmarkEnd w:id="310"/>
      <w:bookmarkEnd w:id="311"/>
      <w:bookmarkEnd w:id="312"/>
      <w:bookmarkEnd w:id="313"/>
      <w:bookmarkEnd w:id="314"/>
      <w:bookmarkEnd w:id="315"/>
      <w:bookmarkEnd w:id="316"/>
    </w:p>
    <w:p>
      <w:pPr>
        <w:widowControl/>
        <w:snapToGrid w:val="0"/>
        <w:spacing w:line="564" w:lineRule="exact"/>
        <w:ind w:firstLine="640" w:firstLineChars="200"/>
        <w:rPr>
          <w:rFonts w:eastAsia="仿宋_GB2312"/>
          <w:kern w:val="0"/>
          <w:sz w:val="32"/>
          <w:szCs w:val="32"/>
        </w:rPr>
      </w:pPr>
      <w:r>
        <w:rPr>
          <w:rFonts w:hint="eastAsia" w:eastAsia="仿宋_GB2312"/>
          <w:kern w:val="0"/>
          <w:sz w:val="32"/>
          <w:szCs w:val="32"/>
        </w:rPr>
        <w:t>“十四五”期间，结合广州市实际，坚持问题和目标导向，系统实施土壤与地下水污染防治重大工程，支撑主要任务实施落地。</w:t>
      </w:r>
    </w:p>
    <w:p>
      <w:pPr>
        <w:pStyle w:val="3"/>
        <w:widowControl w:val="0"/>
        <w:numPr>
          <w:ilvl w:val="0"/>
          <w:numId w:val="2"/>
        </w:numPr>
        <w:snapToGrid w:val="0"/>
        <w:spacing w:before="0" w:after="0" w:line="564" w:lineRule="exact"/>
        <w:ind w:left="0" w:firstLine="643" w:firstLineChars="200"/>
        <w:jc w:val="both"/>
        <w:rPr>
          <w:rFonts w:ascii="Times New Roman" w:hAnsi="Times New Roman" w:eastAsia="楷体_GB2312" w:cs="Times New Roman"/>
          <w:sz w:val="32"/>
        </w:rPr>
      </w:pPr>
      <w:bookmarkStart w:id="317" w:name="_Toc103710439"/>
      <w:bookmarkStart w:id="318" w:name="_Toc31412"/>
      <w:bookmarkStart w:id="319" w:name="_Toc15122"/>
      <w:bookmarkStart w:id="320" w:name="_Toc91857609"/>
      <w:r>
        <w:rPr>
          <w:rFonts w:hint="eastAsia" w:ascii="Times New Roman" w:hAnsi="Times New Roman" w:eastAsia="楷体_GB2312"/>
          <w:sz w:val="32"/>
        </w:rPr>
        <w:t>环境调查工程</w:t>
      </w:r>
      <w:bookmarkEnd w:id="317"/>
      <w:bookmarkEnd w:id="318"/>
      <w:bookmarkEnd w:id="319"/>
      <w:bookmarkEnd w:id="320"/>
    </w:p>
    <w:p>
      <w:pPr>
        <w:widowControl/>
        <w:snapToGrid w:val="0"/>
        <w:spacing w:line="564" w:lineRule="exact"/>
        <w:ind w:firstLine="643" w:firstLineChars="200"/>
        <w:rPr>
          <w:rFonts w:ascii="楷体" w:hAnsi="楷体" w:eastAsia="楷体" w:cs="楷体"/>
          <w:kern w:val="0"/>
          <w:sz w:val="32"/>
          <w:szCs w:val="32"/>
        </w:rPr>
      </w:pPr>
      <w:r>
        <w:rPr>
          <w:rFonts w:eastAsia="仿宋_GB2312"/>
          <w:b/>
          <w:bCs/>
          <w:kern w:val="0"/>
          <w:sz w:val="32"/>
          <w:szCs w:val="32"/>
        </w:rPr>
        <w:t>1.</w:t>
      </w:r>
      <w:r>
        <w:rPr>
          <w:rFonts w:hint="eastAsia" w:eastAsia="仿宋_GB2312"/>
          <w:b/>
          <w:bCs/>
          <w:kern w:val="0"/>
          <w:sz w:val="32"/>
          <w:szCs w:val="32"/>
        </w:rPr>
        <w:t>土壤污染状况调查工程。</w:t>
      </w:r>
      <w:r>
        <w:rPr>
          <w:rFonts w:hint="eastAsia" w:eastAsia="仿宋_GB2312"/>
          <w:kern w:val="0"/>
          <w:sz w:val="32"/>
          <w:szCs w:val="32"/>
        </w:rPr>
        <w:t>按照省的部署，配合开展典型行业企业用地及周边土壤污染状况调查。</w:t>
      </w:r>
    </w:p>
    <w:p>
      <w:pPr>
        <w:widowControl/>
        <w:snapToGrid w:val="0"/>
        <w:spacing w:line="564" w:lineRule="exact"/>
        <w:ind w:firstLine="643" w:firstLineChars="200"/>
        <w:rPr>
          <w:rFonts w:hint="eastAsia" w:ascii="楷体" w:hAnsi="楷体" w:eastAsia="楷体" w:cs="楷体"/>
          <w:kern w:val="0"/>
          <w:sz w:val="32"/>
          <w:szCs w:val="32"/>
        </w:rPr>
      </w:pPr>
      <w:r>
        <w:rPr>
          <w:rFonts w:eastAsia="仿宋_GB2312"/>
          <w:b/>
          <w:bCs/>
          <w:kern w:val="0"/>
          <w:sz w:val="32"/>
          <w:szCs w:val="32"/>
        </w:rPr>
        <w:t>2.</w:t>
      </w:r>
      <w:r>
        <w:rPr>
          <w:rFonts w:hint="eastAsia" w:eastAsia="仿宋_GB2312"/>
          <w:b/>
          <w:bCs/>
          <w:kern w:val="0"/>
          <w:sz w:val="32"/>
          <w:szCs w:val="32"/>
        </w:rPr>
        <w:t>地下水环境状况调查评估工程。</w:t>
      </w:r>
      <w:r>
        <w:rPr>
          <w:rFonts w:hint="eastAsia" w:eastAsia="仿宋_GB2312"/>
          <w:kern w:val="0"/>
          <w:sz w:val="32"/>
          <w:szCs w:val="32"/>
        </w:rPr>
        <w:t>开展地下水重点污染源（</w:t>
      </w:r>
      <w:bookmarkStart w:id="321" w:name="_Hlk104384273"/>
      <w:r>
        <w:rPr>
          <w:rFonts w:hint="eastAsia" w:eastAsia="仿宋"/>
          <w:kern w:val="0"/>
          <w:sz w:val="32"/>
          <w:szCs w:val="21"/>
        </w:rPr>
        <w:t>化学品生产企业、</w:t>
      </w:r>
      <w:bookmarkEnd w:id="321"/>
      <w:r>
        <w:rPr>
          <w:rFonts w:hint="eastAsia" w:eastAsia="仿宋_GB2312"/>
          <w:kern w:val="0"/>
          <w:sz w:val="32"/>
          <w:szCs w:val="32"/>
        </w:rPr>
        <w:t>化工产业为主导的工业集聚区</w:t>
      </w:r>
      <w:bookmarkStart w:id="322" w:name="_Hlk104384282"/>
      <w:r>
        <w:rPr>
          <w:rFonts w:hint="eastAsia" w:eastAsia="仿宋_GB2312"/>
          <w:kern w:val="0"/>
          <w:sz w:val="32"/>
          <w:szCs w:val="32"/>
        </w:rPr>
        <w:t>、</w:t>
      </w:r>
      <w:bookmarkEnd w:id="322"/>
      <w:r>
        <w:rPr>
          <w:rFonts w:hint="eastAsia" w:eastAsia="仿宋_GB2312"/>
          <w:kern w:val="0"/>
          <w:sz w:val="32"/>
          <w:szCs w:val="32"/>
        </w:rPr>
        <w:t>危险废物处置场和垃圾填埋场）地下水环境状况调查评估工程。</w:t>
      </w:r>
    </w:p>
    <w:p>
      <w:pPr>
        <w:pStyle w:val="3"/>
        <w:widowControl w:val="0"/>
        <w:snapToGrid w:val="0"/>
        <w:spacing w:before="0" w:after="0" w:line="564" w:lineRule="exact"/>
        <w:ind w:firstLine="643" w:firstLineChars="200"/>
        <w:rPr>
          <w:rFonts w:hint="eastAsia" w:ascii="Times New Roman" w:hAnsi="Times New Roman" w:eastAsia="楷体_GB2312" w:cs="Times New Roman"/>
          <w:sz w:val="32"/>
        </w:rPr>
      </w:pPr>
      <w:bookmarkStart w:id="323" w:name="_Toc23874"/>
      <w:bookmarkStart w:id="324" w:name="_Toc2063"/>
      <w:bookmarkStart w:id="325" w:name="_Toc91857610"/>
      <w:bookmarkStart w:id="326" w:name="_Toc103710440"/>
      <w:r>
        <w:rPr>
          <w:rFonts w:hint="eastAsia" w:ascii="Times New Roman" w:hAnsi="Times New Roman" w:eastAsia="楷体_GB2312"/>
          <w:sz w:val="32"/>
        </w:rPr>
        <w:t>（二）源头预防工程</w:t>
      </w:r>
      <w:bookmarkEnd w:id="323"/>
      <w:bookmarkEnd w:id="324"/>
      <w:bookmarkEnd w:id="325"/>
      <w:bookmarkEnd w:id="326"/>
    </w:p>
    <w:p>
      <w:pPr>
        <w:pStyle w:val="4"/>
        <w:snapToGrid w:val="0"/>
        <w:spacing w:line="564"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w:t>
      </w:r>
      <w:r>
        <w:rPr>
          <w:rFonts w:hint="eastAsia" w:eastAsia="仿宋_GB2312"/>
          <w:b/>
          <w:bCs/>
          <w:sz w:val="32"/>
          <w:szCs w:val="32"/>
        </w:rPr>
        <w:t>重点</w:t>
      </w:r>
      <w:bookmarkStart w:id="327" w:name="_Hlk104384318"/>
      <w:r>
        <w:rPr>
          <w:rFonts w:hint="eastAsia" w:eastAsia="仿宋_GB2312"/>
          <w:b/>
          <w:bCs/>
          <w:sz w:val="32"/>
          <w:szCs w:val="32"/>
        </w:rPr>
        <w:t>地下水</w:t>
      </w:r>
      <w:bookmarkEnd w:id="327"/>
      <w:r>
        <w:rPr>
          <w:rFonts w:hint="eastAsia" w:eastAsia="仿宋_GB2312"/>
          <w:b/>
          <w:bCs/>
          <w:sz w:val="32"/>
          <w:szCs w:val="32"/>
        </w:rPr>
        <w:t>污染源防渗改造工程。</w:t>
      </w:r>
      <w:bookmarkStart w:id="328" w:name="_Hlk104384335"/>
      <w:r>
        <w:rPr>
          <w:rFonts w:hint="eastAsia" w:eastAsia="仿宋_GB2312"/>
          <w:sz w:val="32"/>
          <w:szCs w:val="32"/>
        </w:rPr>
        <w:t>结合实际，</w:t>
      </w:r>
      <w:bookmarkEnd w:id="328"/>
      <w:r>
        <w:rPr>
          <w:rFonts w:hint="eastAsia" w:eastAsia="仿宋_GB2312"/>
          <w:sz w:val="32"/>
          <w:szCs w:val="32"/>
        </w:rPr>
        <w:t>开展一批</w:t>
      </w:r>
      <w:bookmarkStart w:id="329" w:name="_Hlk104384350"/>
      <w:r>
        <w:rPr>
          <w:rFonts w:hint="eastAsia" w:eastAsia="仿宋_GB2312"/>
          <w:sz w:val="32"/>
          <w:szCs w:val="32"/>
        </w:rPr>
        <w:t>化工园区、危险废物处置场、生活</w:t>
      </w:r>
      <w:bookmarkEnd w:id="329"/>
      <w:bookmarkStart w:id="330" w:name="_Hlk104384363"/>
      <w:r>
        <w:rPr>
          <w:rFonts w:hint="eastAsia" w:eastAsia="仿宋_GB2312"/>
          <w:sz w:val="32"/>
          <w:szCs w:val="32"/>
        </w:rPr>
        <w:t>垃圾填埋场</w:t>
      </w:r>
      <w:bookmarkEnd w:id="330"/>
      <w:r>
        <w:rPr>
          <w:rFonts w:hint="eastAsia" w:eastAsia="仿宋_GB2312"/>
          <w:sz w:val="32"/>
          <w:szCs w:val="32"/>
        </w:rPr>
        <w:t>地下水污染防渗改造。</w:t>
      </w:r>
    </w:p>
    <w:p>
      <w:pPr>
        <w:pStyle w:val="3"/>
        <w:widowControl w:val="0"/>
        <w:snapToGrid w:val="0"/>
        <w:spacing w:before="0" w:after="0" w:line="564" w:lineRule="exact"/>
        <w:ind w:firstLine="643" w:firstLineChars="200"/>
        <w:rPr>
          <w:rFonts w:ascii="Times New Roman" w:hAnsi="Times New Roman" w:eastAsia="楷体_GB2312" w:cs="Times New Roman"/>
          <w:sz w:val="32"/>
        </w:rPr>
      </w:pPr>
      <w:bookmarkStart w:id="331" w:name="_Toc103710441"/>
      <w:bookmarkStart w:id="332" w:name="_Toc29945"/>
      <w:bookmarkStart w:id="333" w:name="_Toc9255"/>
      <w:bookmarkStart w:id="334" w:name="_Toc91857611"/>
      <w:r>
        <w:rPr>
          <w:rFonts w:hint="eastAsia" w:ascii="Times New Roman" w:hAnsi="Times New Roman" w:eastAsia="楷体_GB2312"/>
          <w:sz w:val="32"/>
        </w:rPr>
        <w:t>（三）风险管控和修复工程</w:t>
      </w:r>
      <w:bookmarkEnd w:id="331"/>
      <w:bookmarkEnd w:id="332"/>
      <w:bookmarkEnd w:id="333"/>
      <w:bookmarkEnd w:id="334"/>
    </w:p>
    <w:p>
      <w:pPr>
        <w:widowControl/>
        <w:snapToGrid w:val="0"/>
        <w:spacing w:line="564" w:lineRule="exact"/>
        <w:ind w:firstLine="643" w:firstLineChars="200"/>
        <w:rPr>
          <w:rFonts w:eastAsia="仿宋_GB2312"/>
          <w:kern w:val="0"/>
          <w:sz w:val="32"/>
          <w:szCs w:val="32"/>
        </w:rPr>
      </w:pPr>
      <w:r>
        <w:rPr>
          <w:rFonts w:eastAsia="仿宋_GB2312"/>
          <w:b/>
          <w:bCs/>
          <w:kern w:val="0"/>
          <w:sz w:val="32"/>
          <w:szCs w:val="32"/>
        </w:rPr>
        <w:t>1.</w:t>
      </w:r>
      <w:r>
        <w:rPr>
          <w:rFonts w:hint="eastAsia" w:eastAsia="仿宋_GB2312"/>
          <w:b/>
          <w:bCs/>
          <w:kern w:val="0"/>
          <w:sz w:val="32"/>
          <w:szCs w:val="32"/>
        </w:rPr>
        <w:t>污染地块风险管控和修复工程。</w:t>
      </w:r>
      <w:r>
        <w:rPr>
          <w:rFonts w:hint="eastAsia" w:eastAsia="仿宋_GB2312"/>
          <w:kern w:val="0"/>
          <w:sz w:val="32"/>
          <w:szCs w:val="32"/>
        </w:rPr>
        <w:t>基于调查评估结果，结合地块规划用途质量要求，组织实施一批建设用地风险管控和修复工程。</w:t>
      </w:r>
    </w:p>
    <w:p>
      <w:pPr>
        <w:widowControl/>
        <w:snapToGrid w:val="0"/>
        <w:spacing w:line="564" w:lineRule="exact"/>
        <w:ind w:firstLine="643" w:firstLineChars="200"/>
        <w:rPr>
          <w:rFonts w:eastAsia="仿宋_GB2312"/>
          <w:kern w:val="0"/>
          <w:sz w:val="32"/>
          <w:szCs w:val="32"/>
        </w:rPr>
      </w:pPr>
      <w:r>
        <w:rPr>
          <w:rFonts w:eastAsia="仿宋_GB2312"/>
          <w:b/>
          <w:bCs/>
          <w:kern w:val="0"/>
          <w:sz w:val="32"/>
          <w:szCs w:val="32"/>
        </w:rPr>
        <w:t>2.</w:t>
      </w:r>
      <w:r>
        <w:rPr>
          <w:rFonts w:hint="eastAsia" w:eastAsia="仿宋_GB2312"/>
          <w:b/>
          <w:bCs/>
          <w:kern w:val="0"/>
          <w:sz w:val="32"/>
          <w:szCs w:val="32"/>
        </w:rPr>
        <w:t>污染土壤集中治理与资源化利用处置中心。</w:t>
      </w:r>
      <w:r>
        <w:rPr>
          <w:rFonts w:hint="eastAsia" w:eastAsia="仿宋_GB2312"/>
          <w:kern w:val="0"/>
          <w:sz w:val="32"/>
          <w:szCs w:val="32"/>
        </w:rPr>
        <w:t>结合全市污染地块数量、土壤污染类型、污染土壤异地处置需求等，建设污染土壤集中治理与资源化利用处置中心。</w:t>
      </w:r>
    </w:p>
    <w:p>
      <w:pPr>
        <w:pStyle w:val="3"/>
        <w:widowControl w:val="0"/>
        <w:snapToGrid w:val="0"/>
        <w:spacing w:before="0" w:after="0" w:line="564" w:lineRule="exact"/>
        <w:ind w:firstLine="643" w:firstLineChars="200"/>
        <w:rPr>
          <w:rFonts w:ascii="Times New Roman" w:hAnsi="Times New Roman" w:eastAsia="楷体_GB2312" w:cs="Times New Roman"/>
          <w:sz w:val="32"/>
        </w:rPr>
      </w:pPr>
      <w:bookmarkStart w:id="335" w:name="_Toc91857612"/>
      <w:bookmarkStart w:id="336" w:name="_Toc14515"/>
      <w:bookmarkStart w:id="337" w:name="_Toc103710442"/>
      <w:bookmarkStart w:id="338" w:name="_Toc5718"/>
      <w:r>
        <w:rPr>
          <w:rFonts w:hint="eastAsia" w:ascii="Times New Roman" w:hAnsi="Times New Roman" w:eastAsia="楷体_GB2312"/>
          <w:sz w:val="32"/>
        </w:rPr>
        <w:t>（四）污染防治试点示范工程</w:t>
      </w:r>
      <w:bookmarkEnd w:id="335"/>
      <w:bookmarkEnd w:id="336"/>
      <w:bookmarkEnd w:id="337"/>
      <w:bookmarkEnd w:id="338"/>
    </w:p>
    <w:p>
      <w:pPr>
        <w:widowControl/>
        <w:snapToGrid w:val="0"/>
        <w:spacing w:line="564" w:lineRule="exact"/>
        <w:ind w:firstLine="643" w:firstLineChars="200"/>
        <w:rPr>
          <w:rFonts w:ascii="楷体" w:hAnsi="楷体" w:eastAsia="楷体" w:cs="楷体"/>
          <w:kern w:val="0"/>
          <w:sz w:val="32"/>
          <w:szCs w:val="32"/>
        </w:rPr>
      </w:pPr>
      <w:r>
        <w:rPr>
          <w:rFonts w:eastAsia="仿宋_GB2312"/>
          <w:b/>
          <w:bCs/>
          <w:kern w:val="0"/>
          <w:sz w:val="32"/>
          <w:szCs w:val="32"/>
        </w:rPr>
        <w:t>1.</w:t>
      </w:r>
      <w:r>
        <w:rPr>
          <w:rFonts w:hint="eastAsia" w:eastAsia="仿宋_GB2312"/>
          <w:b/>
          <w:bCs/>
          <w:kern w:val="0"/>
          <w:sz w:val="32"/>
          <w:szCs w:val="32"/>
        </w:rPr>
        <w:t>污染地块“环境修复</w:t>
      </w:r>
      <w:r>
        <w:rPr>
          <w:rFonts w:eastAsia="仿宋_GB2312"/>
          <w:b/>
          <w:bCs/>
          <w:kern w:val="0"/>
          <w:sz w:val="32"/>
          <w:szCs w:val="32"/>
        </w:rPr>
        <w:t>+</w:t>
      </w:r>
      <w:r>
        <w:rPr>
          <w:rFonts w:hint="eastAsia" w:eastAsia="仿宋_GB2312"/>
          <w:b/>
          <w:bCs/>
          <w:kern w:val="0"/>
          <w:sz w:val="32"/>
          <w:szCs w:val="32"/>
        </w:rPr>
        <w:t>开发建设”示范工程。</w:t>
      </w:r>
      <w:r>
        <w:rPr>
          <w:rFonts w:hint="eastAsia" w:eastAsia="仿宋_GB2312"/>
          <w:kern w:val="0"/>
          <w:sz w:val="32"/>
          <w:szCs w:val="32"/>
        </w:rPr>
        <w:t>选择典型污染地块，开展</w:t>
      </w:r>
      <w:r>
        <w:rPr>
          <w:rFonts w:eastAsia="仿宋_GB2312"/>
          <w:kern w:val="0"/>
          <w:sz w:val="32"/>
          <w:szCs w:val="32"/>
        </w:rPr>
        <w:t>“</w:t>
      </w:r>
      <w:r>
        <w:rPr>
          <w:rFonts w:hint="eastAsia" w:eastAsia="仿宋_GB2312"/>
          <w:kern w:val="0"/>
          <w:sz w:val="32"/>
          <w:szCs w:val="32"/>
        </w:rPr>
        <w:t>环境修复</w:t>
      </w:r>
      <w:r>
        <w:rPr>
          <w:rFonts w:eastAsia="仿宋_GB2312"/>
          <w:kern w:val="0"/>
          <w:sz w:val="32"/>
          <w:szCs w:val="32"/>
        </w:rPr>
        <w:t>+</w:t>
      </w:r>
      <w:r>
        <w:rPr>
          <w:rFonts w:hint="eastAsia" w:eastAsia="仿宋_GB2312"/>
          <w:kern w:val="0"/>
          <w:sz w:val="32"/>
          <w:szCs w:val="32"/>
        </w:rPr>
        <w:t>开发建设</w:t>
      </w:r>
      <w:r>
        <w:rPr>
          <w:rFonts w:eastAsia="仿宋_GB2312"/>
          <w:kern w:val="0"/>
          <w:sz w:val="32"/>
          <w:szCs w:val="32"/>
        </w:rPr>
        <w:t>”</w:t>
      </w:r>
      <w:r>
        <w:rPr>
          <w:rFonts w:hint="eastAsia" w:eastAsia="仿宋_GB2312"/>
          <w:kern w:val="0"/>
          <w:sz w:val="32"/>
          <w:szCs w:val="32"/>
        </w:rPr>
        <w:t>示范，并探索相关管理模式。</w:t>
      </w:r>
    </w:p>
    <w:p>
      <w:pPr>
        <w:widowControl/>
        <w:snapToGrid w:val="0"/>
        <w:spacing w:line="564" w:lineRule="exact"/>
        <w:ind w:firstLine="643" w:firstLineChars="200"/>
        <w:rPr>
          <w:rFonts w:hint="eastAsia" w:ascii="楷体" w:hAnsi="楷体" w:eastAsia="楷体" w:cs="楷体"/>
          <w:kern w:val="0"/>
          <w:sz w:val="32"/>
          <w:szCs w:val="32"/>
        </w:rPr>
      </w:pPr>
      <w:r>
        <w:rPr>
          <w:rFonts w:eastAsia="仿宋_GB2312"/>
          <w:b/>
          <w:bCs/>
          <w:kern w:val="0"/>
          <w:sz w:val="32"/>
          <w:szCs w:val="32"/>
        </w:rPr>
        <w:t>2.</w:t>
      </w:r>
      <w:r>
        <w:rPr>
          <w:rFonts w:hint="eastAsia" w:eastAsia="仿宋_GB2312"/>
          <w:b/>
          <w:bCs/>
          <w:kern w:val="0"/>
          <w:sz w:val="32"/>
          <w:szCs w:val="32"/>
        </w:rPr>
        <w:t>在产企业风险管控试点。</w:t>
      </w:r>
      <w:r>
        <w:rPr>
          <w:rFonts w:hint="eastAsia" w:eastAsia="仿宋_GB2312"/>
          <w:kern w:val="0"/>
          <w:sz w:val="32"/>
          <w:szCs w:val="32"/>
        </w:rPr>
        <w:t>结合重点行业企业用地土壤污染状况调查结果，选择</w:t>
      </w:r>
      <w:r>
        <w:rPr>
          <w:rFonts w:eastAsia="仿宋_GB2312"/>
          <w:kern w:val="0"/>
          <w:sz w:val="32"/>
          <w:szCs w:val="32"/>
        </w:rPr>
        <w:t>1-2</w:t>
      </w:r>
      <w:r>
        <w:rPr>
          <w:rFonts w:hint="eastAsia" w:eastAsia="仿宋_GB2312"/>
          <w:kern w:val="0"/>
          <w:sz w:val="32"/>
          <w:szCs w:val="32"/>
        </w:rPr>
        <w:t>家典型行业企业开展风险管控评估和污染风险关键环节管控试点。</w:t>
      </w:r>
    </w:p>
    <w:p>
      <w:pPr>
        <w:pStyle w:val="2"/>
        <w:widowControl w:val="0"/>
        <w:snapToGrid w:val="0"/>
        <w:spacing w:before="0" w:after="0" w:line="564" w:lineRule="exact"/>
        <w:ind w:firstLine="640" w:firstLineChars="200"/>
        <w:jc w:val="both"/>
        <w:rPr>
          <w:rFonts w:hint="eastAsia" w:eastAsia="黑体"/>
          <w:b w:val="0"/>
          <w:bCs w:val="0"/>
          <w:szCs w:val="32"/>
        </w:rPr>
      </w:pPr>
      <w:bookmarkStart w:id="339" w:name="_Toc42468425"/>
      <w:bookmarkStart w:id="340" w:name="_Toc4353"/>
      <w:bookmarkStart w:id="341" w:name="_Toc72621572"/>
      <w:bookmarkStart w:id="342" w:name="_Toc76741423"/>
      <w:bookmarkStart w:id="343" w:name="_Toc90311725"/>
      <w:bookmarkStart w:id="344" w:name="_Toc103710444"/>
      <w:bookmarkStart w:id="345" w:name="_Toc72534784"/>
      <w:bookmarkStart w:id="346" w:name="_Toc91857615"/>
      <w:bookmarkStart w:id="347" w:name="_Toc26907520"/>
      <w:bookmarkStart w:id="348" w:name="_Toc23910"/>
      <w:bookmarkStart w:id="349" w:name="_Toc60922380"/>
      <w:bookmarkStart w:id="350" w:name="_Toc19538"/>
      <w:bookmarkStart w:id="351" w:name="_Toc31703"/>
      <w:bookmarkStart w:id="352" w:name="_Toc68640479"/>
      <w:bookmarkStart w:id="353" w:name="_Toc14157"/>
      <w:bookmarkStart w:id="354" w:name="_Toc29585"/>
      <w:r>
        <w:rPr>
          <w:rFonts w:hint="eastAsia" w:eastAsia="黑体"/>
          <w:b w:val="0"/>
          <w:bCs w:val="0"/>
          <w:szCs w:val="32"/>
        </w:rPr>
        <w:t>五、保障措施</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pPr>
        <w:pStyle w:val="3"/>
        <w:widowControl w:val="0"/>
        <w:snapToGrid w:val="0"/>
        <w:spacing w:before="0" w:after="0" w:line="564" w:lineRule="exact"/>
        <w:ind w:firstLine="643" w:firstLineChars="200"/>
        <w:jc w:val="both"/>
        <w:rPr>
          <w:rFonts w:ascii="Times New Roman" w:hAnsi="Times New Roman" w:eastAsia="楷体_GB2312" w:cs="Times New Roman"/>
          <w:sz w:val="32"/>
        </w:rPr>
      </w:pPr>
      <w:bookmarkStart w:id="355" w:name="_Toc27968"/>
      <w:bookmarkStart w:id="356" w:name="_Toc20812"/>
      <w:bookmarkStart w:id="357" w:name="_Toc90311726"/>
      <w:bookmarkStart w:id="358" w:name="_Toc68640480"/>
      <w:bookmarkStart w:id="359" w:name="_Toc91857616"/>
      <w:bookmarkStart w:id="360" w:name="_Toc15639"/>
      <w:bookmarkStart w:id="361" w:name="_Toc60922381"/>
      <w:bookmarkStart w:id="362" w:name="_Toc76741424"/>
      <w:bookmarkStart w:id="363" w:name="_Toc72621573"/>
      <w:bookmarkStart w:id="364" w:name="_Toc72534785"/>
      <w:bookmarkStart w:id="365" w:name="_Toc1982"/>
      <w:bookmarkStart w:id="366" w:name="_Toc27386"/>
      <w:bookmarkStart w:id="367" w:name="_Toc15011"/>
      <w:bookmarkStart w:id="368" w:name="_Toc103710445"/>
      <w:bookmarkStart w:id="369" w:name="_Toc42468426"/>
      <w:r>
        <w:rPr>
          <w:rFonts w:hint="eastAsia" w:ascii="Times New Roman" w:hAnsi="Times New Roman" w:eastAsia="楷体_GB2312"/>
          <w:sz w:val="32"/>
        </w:rPr>
        <w:t>（一）加强组织领导</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pPr>
        <w:widowControl/>
        <w:snapToGrid w:val="0"/>
        <w:spacing w:line="564" w:lineRule="exact"/>
        <w:ind w:firstLine="643" w:firstLineChars="200"/>
        <w:rPr>
          <w:rFonts w:eastAsia="仿宋_GB2312"/>
          <w:kern w:val="0"/>
          <w:sz w:val="32"/>
          <w:szCs w:val="32"/>
        </w:rPr>
      </w:pPr>
      <w:bookmarkStart w:id="370" w:name="_Toc42468427"/>
      <w:bookmarkStart w:id="371" w:name="_Hlk42468241"/>
      <w:r>
        <w:rPr>
          <w:rFonts w:hint="eastAsia" w:eastAsia="仿宋_GB2312"/>
          <w:b/>
          <w:bCs/>
          <w:kern w:val="0"/>
          <w:sz w:val="32"/>
          <w:szCs w:val="32"/>
        </w:rPr>
        <w:t>明确政府主体责任。</w:t>
      </w:r>
      <w:r>
        <w:rPr>
          <w:rFonts w:hint="eastAsia" w:eastAsia="仿宋_GB2312"/>
          <w:kern w:val="0"/>
          <w:sz w:val="32"/>
          <w:szCs w:val="32"/>
        </w:rPr>
        <w:t>市政府是实施本规划的责任主体，区政府是本规划的落实主体。根据本规划，相关任务负责部门制定年度计划或纳入本部门相关工作计划中并组织实施，确保各项任务全面完成。</w:t>
      </w:r>
      <w:r>
        <w:rPr>
          <w:rFonts w:eastAsia="仿宋_GB2312"/>
          <w:kern w:val="0"/>
          <w:sz w:val="32"/>
          <w:szCs w:val="32"/>
        </w:rPr>
        <w:t>2022</w:t>
      </w:r>
      <w:r>
        <w:rPr>
          <w:rFonts w:hint="eastAsia" w:eastAsia="仿宋_GB2312"/>
          <w:kern w:val="0"/>
          <w:sz w:val="32"/>
          <w:szCs w:val="32"/>
        </w:rPr>
        <w:t>年起，将土壤与地下水污染防治工作情况纳入市政府工作报告。</w:t>
      </w:r>
    </w:p>
    <w:p>
      <w:pPr>
        <w:widowControl/>
        <w:snapToGrid w:val="0"/>
        <w:spacing w:line="564" w:lineRule="exact"/>
        <w:ind w:firstLine="643" w:firstLineChars="200"/>
        <w:rPr>
          <w:rFonts w:ascii="楷体" w:hAnsi="楷体" w:eastAsia="楷体" w:cs="楷体"/>
          <w:kern w:val="0"/>
          <w:sz w:val="32"/>
          <w:szCs w:val="32"/>
        </w:rPr>
      </w:pPr>
      <w:r>
        <w:rPr>
          <w:rFonts w:hint="eastAsia" w:eastAsia="仿宋_GB2312"/>
          <w:b/>
          <w:bCs/>
          <w:kern w:val="0"/>
          <w:sz w:val="32"/>
          <w:szCs w:val="32"/>
        </w:rPr>
        <w:t>部门协同推进规划任务。</w:t>
      </w:r>
      <w:r>
        <w:rPr>
          <w:rFonts w:hint="eastAsia" w:eastAsia="仿宋_GB2312"/>
          <w:kern w:val="0"/>
          <w:sz w:val="32"/>
          <w:szCs w:val="32"/>
        </w:rPr>
        <w:t>建立市有关部门参加的工作协调机制，协调解决重大问题和事项。生态环境部门要抓好统筹协调，加强督促检查，有关部门要密切配合，按照职责分工，协同做好全市土壤、地下水环境污染防治工作。</w:t>
      </w:r>
    </w:p>
    <w:p>
      <w:pPr>
        <w:pStyle w:val="3"/>
        <w:widowControl w:val="0"/>
        <w:snapToGrid w:val="0"/>
        <w:spacing w:before="0" w:after="0" w:line="564" w:lineRule="exact"/>
        <w:ind w:firstLine="643" w:firstLineChars="200"/>
        <w:jc w:val="both"/>
        <w:rPr>
          <w:rFonts w:hint="eastAsia" w:ascii="Times New Roman" w:hAnsi="Times New Roman" w:eastAsia="楷体_GB2312" w:cs="Times New Roman"/>
          <w:sz w:val="32"/>
        </w:rPr>
      </w:pPr>
      <w:bookmarkStart w:id="372" w:name="_Toc72534787"/>
      <w:bookmarkStart w:id="373" w:name="_Toc28067"/>
      <w:bookmarkStart w:id="374" w:name="_Toc68640482"/>
      <w:bookmarkStart w:id="375" w:name="_Toc60922382"/>
      <w:bookmarkStart w:id="376" w:name="_Toc21071"/>
      <w:bookmarkStart w:id="377" w:name="_Toc72621575"/>
      <w:bookmarkStart w:id="378" w:name="_Toc12607"/>
      <w:bookmarkStart w:id="379" w:name="_Toc3082"/>
      <w:bookmarkStart w:id="380" w:name="_Toc6180"/>
      <w:bookmarkStart w:id="381" w:name="_Toc103710446"/>
      <w:bookmarkStart w:id="382" w:name="_Toc4267"/>
      <w:bookmarkStart w:id="383" w:name="_Toc76741425"/>
      <w:bookmarkStart w:id="384" w:name="_Toc90311727"/>
      <w:bookmarkStart w:id="385" w:name="_Toc91857617"/>
      <w:r>
        <w:rPr>
          <w:rFonts w:hint="eastAsia" w:ascii="Times New Roman" w:hAnsi="Times New Roman" w:eastAsia="楷体_GB2312"/>
          <w:sz w:val="32"/>
        </w:rPr>
        <w:t>（二）</w:t>
      </w:r>
      <w:bookmarkEnd w:id="370"/>
      <w:bookmarkEnd w:id="372"/>
      <w:bookmarkEnd w:id="373"/>
      <w:bookmarkEnd w:id="374"/>
      <w:bookmarkEnd w:id="375"/>
      <w:bookmarkEnd w:id="376"/>
      <w:bookmarkEnd w:id="377"/>
      <w:r>
        <w:rPr>
          <w:rFonts w:hint="eastAsia" w:ascii="Times New Roman" w:hAnsi="Times New Roman" w:eastAsia="楷体_GB2312"/>
          <w:sz w:val="32"/>
        </w:rPr>
        <w:t>做好资金保障</w:t>
      </w:r>
      <w:bookmarkEnd w:id="378"/>
      <w:bookmarkEnd w:id="379"/>
      <w:bookmarkEnd w:id="380"/>
      <w:bookmarkEnd w:id="381"/>
      <w:bookmarkEnd w:id="382"/>
      <w:bookmarkEnd w:id="383"/>
      <w:bookmarkEnd w:id="384"/>
      <w:bookmarkEnd w:id="385"/>
    </w:p>
    <w:bookmarkEnd w:id="371"/>
    <w:p>
      <w:pPr>
        <w:widowControl/>
        <w:snapToGrid w:val="0"/>
        <w:spacing w:line="564" w:lineRule="exact"/>
        <w:ind w:firstLine="643" w:firstLineChars="200"/>
        <w:rPr>
          <w:rFonts w:eastAsia="楷体_GB2312"/>
          <w:kern w:val="0"/>
          <w:sz w:val="32"/>
          <w:szCs w:val="32"/>
        </w:rPr>
      </w:pPr>
      <w:r>
        <w:rPr>
          <w:rFonts w:hint="eastAsia" w:eastAsia="仿宋_GB2312"/>
          <w:b/>
          <w:bCs/>
          <w:kern w:val="0"/>
          <w:sz w:val="32"/>
          <w:szCs w:val="32"/>
        </w:rPr>
        <w:t>把土壤和地下水污染防治作为公共财政支出的重点领域。</w:t>
      </w:r>
      <w:r>
        <w:rPr>
          <w:rFonts w:hint="eastAsia" w:eastAsia="仿宋_GB2312"/>
          <w:kern w:val="0"/>
          <w:sz w:val="32"/>
          <w:szCs w:val="32"/>
        </w:rPr>
        <w:t>督促污染责任主体切实承担污染治理的经济责任。加强土壤、地下水环境污染防治项目储备，积极争取中央和省级财政专项资金。通过政府和社会资本合作（</w:t>
      </w:r>
      <w:r>
        <w:rPr>
          <w:rFonts w:eastAsia="仿宋_GB2312"/>
          <w:kern w:val="0"/>
          <w:sz w:val="32"/>
          <w:szCs w:val="32"/>
        </w:rPr>
        <w:t>PPP</w:t>
      </w:r>
      <w:r>
        <w:rPr>
          <w:rFonts w:hint="eastAsia" w:eastAsia="仿宋_GB2312"/>
          <w:kern w:val="0"/>
          <w:sz w:val="32"/>
          <w:szCs w:val="32"/>
        </w:rPr>
        <w:t>）模式，发挥财政资金引导作用，带动更多社会资本参与土壤、地下水环境污染风险管控与修复工作。</w:t>
      </w:r>
    </w:p>
    <w:p>
      <w:pPr>
        <w:pStyle w:val="3"/>
        <w:widowControl w:val="0"/>
        <w:snapToGrid w:val="0"/>
        <w:spacing w:before="0" w:after="0" w:line="564" w:lineRule="exact"/>
        <w:ind w:firstLine="643" w:firstLineChars="200"/>
        <w:jc w:val="both"/>
        <w:rPr>
          <w:rFonts w:ascii="Times New Roman" w:hAnsi="Times New Roman" w:eastAsia="楷体_GB2312" w:cs="Times New Roman"/>
          <w:sz w:val="32"/>
        </w:rPr>
      </w:pPr>
      <w:bookmarkStart w:id="386" w:name="_Toc90311728"/>
      <w:bookmarkStart w:id="387" w:name="_Toc13349"/>
      <w:bookmarkStart w:id="388" w:name="_Toc91857618"/>
      <w:bookmarkStart w:id="389" w:name="_Toc11537"/>
      <w:bookmarkStart w:id="390" w:name="_Toc15139"/>
      <w:bookmarkStart w:id="391" w:name="_Toc76741426"/>
      <w:bookmarkStart w:id="392" w:name="_Toc21604"/>
      <w:bookmarkStart w:id="393" w:name="_Toc103710447"/>
      <w:r>
        <w:rPr>
          <w:rFonts w:hint="eastAsia" w:ascii="Times New Roman" w:hAnsi="Times New Roman" w:eastAsia="楷体_GB2312"/>
          <w:sz w:val="32"/>
        </w:rPr>
        <w:t>（三）严格目标考核</w:t>
      </w:r>
      <w:bookmarkEnd w:id="386"/>
      <w:bookmarkEnd w:id="387"/>
      <w:bookmarkEnd w:id="388"/>
      <w:bookmarkEnd w:id="389"/>
      <w:bookmarkEnd w:id="390"/>
      <w:bookmarkEnd w:id="391"/>
      <w:bookmarkEnd w:id="392"/>
      <w:bookmarkEnd w:id="393"/>
    </w:p>
    <w:p>
      <w:pPr>
        <w:widowControl/>
        <w:snapToGrid w:val="0"/>
        <w:spacing w:line="564" w:lineRule="exact"/>
        <w:ind w:firstLine="643" w:firstLineChars="200"/>
        <w:rPr>
          <w:rFonts w:ascii="楷体" w:hAnsi="楷体" w:eastAsia="楷体" w:cs="楷体"/>
          <w:kern w:val="0"/>
          <w:sz w:val="32"/>
          <w:szCs w:val="32"/>
        </w:rPr>
      </w:pPr>
      <w:r>
        <w:rPr>
          <w:rFonts w:hint="eastAsia" w:eastAsia="仿宋_GB2312"/>
          <w:b/>
          <w:bCs/>
          <w:kern w:val="0"/>
          <w:sz w:val="32"/>
          <w:szCs w:val="32"/>
        </w:rPr>
        <w:t>实行目标责任制和考核评价制度。</w:t>
      </w:r>
      <w:r>
        <w:rPr>
          <w:rFonts w:hint="eastAsia" w:eastAsia="仿宋_GB2312"/>
          <w:kern w:val="0"/>
          <w:sz w:val="32"/>
          <w:szCs w:val="32"/>
        </w:rPr>
        <w:t>生态环境部门牵头组织有关单位对重点工作完成情况进行年度总结。在</w:t>
      </w:r>
      <w:r>
        <w:rPr>
          <w:rFonts w:eastAsia="仿宋_GB2312"/>
          <w:kern w:val="0"/>
          <w:sz w:val="32"/>
          <w:szCs w:val="32"/>
        </w:rPr>
        <w:t>2025</w:t>
      </w:r>
      <w:r>
        <w:rPr>
          <w:rFonts w:hint="eastAsia" w:eastAsia="仿宋_GB2312"/>
          <w:kern w:val="0"/>
          <w:sz w:val="32"/>
          <w:szCs w:val="32"/>
        </w:rPr>
        <w:t>年底对本规划的实施情况进行总结。</w:t>
      </w:r>
    </w:p>
    <w:p>
      <w:pPr>
        <w:pStyle w:val="3"/>
        <w:widowControl w:val="0"/>
        <w:snapToGrid w:val="0"/>
        <w:spacing w:before="0" w:after="0" w:line="564" w:lineRule="exact"/>
        <w:ind w:firstLine="643" w:firstLineChars="200"/>
        <w:jc w:val="both"/>
        <w:rPr>
          <w:rFonts w:hint="eastAsia" w:ascii="Times New Roman" w:hAnsi="Times New Roman" w:eastAsia="楷体_GB2312" w:cs="Times New Roman"/>
          <w:sz w:val="32"/>
        </w:rPr>
      </w:pPr>
      <w:bookmarkStart w:id="394" w:name="_Toc68640483"/>
      <w:bookmarkStart w:id="395" w:name="_Toc90311729"/>
      <w:bookmarkStart w:id="396" w:name="_Toc28076"/>
      <w:bookmarkStart w:id="397" w:name="_Toc72621576"/>
      <w:bookmarkStart w:id="398" w:name="_Toc72534788"/>
      <w:bookmarkStart w:id="399" w:name="_Toc76741427"/>
      <w:bookmarkStart w:id="400" w:name="_Toc15849"/>
      <w:bookmarkStart w:id="401" w:name="_Toc60922384"/>
      <w:bookmarkStart w:id="402" w:name="_Toc5829"/>
      <w:bookmarkStart w:id="403" w:name="_Toc103710448"/>
      <w:bookmarkStart w:id="404" w:name="_Toc5376"/>
      <w:bookmarkStart w:id="405" w:name="_Toc6816"/>
      <w:bookmarkStart w:id="406" w:name="_Toc91857619"/>
      <w:bookmarkStart w:id="407" w:name="_Toc7645"/>
      <w:r>
        <w:rPr>
          <w:rFonts w:hint="eastAsia" w:ascii="Times New Roman" w:hAnsi="Times New Roman" w:eastAsia="楷体_GB2312"/>
          <w:sz w:val="32"/>
        </w:rPr>
        <w:t>（四）加强宣传引导</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pPr>
        <w:widowControl/>
        <w:snapToGrid w:val="0"/>
        <w:spacing w:line="564" w:lineRule="exact"/>
        <w:ind w:firstLine="643" w:firstLineChars="200"/>
        <w:rPr>
          <w:rFonts w:eastAsia="楷体_GB2312"/>
          <w:kern w:val="0"/>
          <w:sz w:val="32"/>
          <w:szCs w:val="32"/>
        </w:rPr>
      </w:pPr>
      <w:r>
        <w:rPr>
          <w:rFonts w:hint="eastAsia" w:eastAsia="仿宋_GB2312"/>
          <w:b/>
          <w:bCs/>
          <w:kern w:val="0"/>
          <w:sz w:val="32"/>
          <w:szCs w:val="32"/>
        </w:rPr>
        <w:t>注重宣传引导。</w:t>
      </w:r>
      <w:r>
        <w:rPr>
          <w:rFonts w:hint="eastAsia" w:eastAsia="仿宋_GB2312"/>
          <w:kern w:val="0"/>
          <w:sz w:val="32"/>
          <w:szCs w:val="32"/>
        </w:rPr>
        <w:t>充分利用报刊、互联网、讲座活动、宣传资料等形式，提高公众环境保护意识和责任意识。把土壤、地下水环境保护宣传教育融入党政机关、学校、工厂、社区、农村等的环境宣传和培训工作，大力推广绿色生产生活方式，形成全社会参与的良好氛围。</w:t>
      </w:r>
    </w:p>
    <w:p>
      <w:pPr>
        <w:widowControl/>
        <w:snapToGrid w:val="0"/>
        <w:spacing w:line="564" w:lineRule="exact"/>
        <w:ind w:firstLine="643" w:firstLineChars="200"/>
        <w:rPr>
          <w:rFonts w:eastAsia="楷体_GB2312"/>
          <w:kern w:val="0"/>
          <w:sz w:val="32"/>
          <w:szCs w:val="32"/>
        </w:rPr>
      </w:pPr>
      <w:r>
        <w:rPr>
          <w:rFonts w:hint="eastAsia" w:eastAsia="仿宋_GB2312"/>
          <w:b/>
          <w:bCs/>
          <w:kern w:val="0"/>
          <w:sz w:val="32"/>
          <w:szCs w:val="32"/>
        </w:rPr>
        <w:t>强化信息公开。</w:t>
      </w:r>
      <w:r>
        <w:rPr>
          <w:rFonts w:hint="eastAsia" w:eastAsia="仿宋_GB2312"/>
          <w:kern w:val="0"/>
          <w:sz w:val="32"/>
          <w:szCs w:val="32"/>
        </w:rPr>
        <w:t>依法公开</w:t>
      </w:r>
      <w:bookmarkStart w:id="408" w:name="_Hlk104384500"/>
      <w:r>
        <w:rPr>
          <w:rFonts w:hint="eastAsia" w:eastAsia="仿宋_GB2312"/>
          <w:kern w:val="0"/>
          <w:sz w:val="32"/>
          <w:szCs w:val="32"/>
        </w:rPr>
        <w:t>本行政</w:t>
      </w:r>
      <w:bookmarkEnd w:id="408"/>
      <w:r>
        <w:rPr>
          <w:rFonts w:hint="eastAsia" w:eastAsia="仿宋_GB2312"/>
          <w:kern w:val="0"/>
          <w:sz w:val="32"/>
          <w:szCs w:val="32"/>
        </w:rPr>
        <w:t>区域内土壤和地下水环境状况。重点行业企业要依据相关规定，向社会公开其产生的污染物名称、排放浓度、排放总量、排放方式以及污染防治设施建设和运行情况。承担土壤和地下水污染防治的企业和有关单位，应依据相关法规主动公开有关事项。</w:t>
      </w:r>
    </w:p>
    <w:p>
      <w:pPr>
        <w:snapToGrid w:val="0"/>
        <w:spacing w:line="564" w:lineRule="exact"/>
        <w:ind w:firstLine="643" w:firstLineChars="200"/>
        <w:rPr>
          <w:rFonts w:ascii="Calibri" w:hAnsi="Calibri" w:eastAsia="楷体_GB2312"/>
          <w:sz w:val="32"/>
          <w:szCs w:val="32"/>
        </w:rPr>
      </w:pPr>
      <w:r>
        <w:rPr>
          <w:rFonts w:hint="eastAsia" w:eastAsia="仿宋_GB2312"/>
          <w:b/>
          <w:bCs/>
          <w:kern w:val="0"/>
          <w:sz w:val="32"/>
          <w:szCs w:val="32"/>
        </w:rPr>
        <w:t>鼓励社会监督。</w:t>
      </w:r>
      <w:r>
        <w:rPr>
          <w:rFonts w:hint="eastAsia" w:eastAsia="仿宋_GB2312"/>
          <w:kern w:val="0"/>
          <w:sz w:val="32"/>
          <w:szCs w:val="32"/>
        </w:rPr>
        <w:t>完善公众监督和举报反馈机制，充分发挥环保举报热线作用，鼓励公众举报污染土壤和地下水等行为。加强舆论监督，鼓励新闻媒体对各类破坏生态环境问题、突发环境事件、环境违法行为进行曝光。</w:t>
      </w:r>
    </w:p>
    <w:p>
      <w:pPr>
        <w:widowControl/>
        <w:jc w:val="left"/>
        <w:rPr>
          <w:rFonts w:eastAsia="楷体_GB2312"/>
          <w:sz w:val="32"/>
          <w:szCs w:val="32"/>
        </w:rPr>
        <w:sectPr>
          <w:pgSz w:w="11906" w:h="16838"/>
          <w:pgMar w:top="2098" w:right="1247" w:bottom="1758" w:left="1588" w:header="1134" w:footer="1503" w:gutter="0"/>
          <w:cols w:space="720" w:num="1"/>
          <w:docGrid w:type="lines" w:linePitch="312" w:charSpace="0"/>
        </w:sectPr>
      </w:pPr>
    </w:p>
    <w:p>
      <w:pPr>
        <w:widowControl/>
        <w:spacing w:line="590" w:lineRule="exact"/>
        <w:jc w:val="left"/>
        <w:outlineLvl w:val="1"/>
        <w:rPr>
          <w:rFonts w:hint="eastAsia" w:eastAsia="仿宋"/>
          <w:b/>
          <w:bCs/>
          <w:kern w:val="0"/>
          <w:sz w:val="28"/>
          <w:szCs w:val="20"/>
        </w:rPr>
      </w:pPr>
      <w:bookmarkStart w:id="409" w:name="_Toc22477"/>
      <w:bookmarkStart w:id="410" w:name="_Toc17509"/>
      <w:bookmarkStart w:id="411" w:name="_Toc103710449"/>
      <w:bookmarkStart w:id="412" w:name="_Toc90311730"/>
      <w:r>
        <w:rPr>
          <w:rFonts w:hint="eastAsia" w:eastAsia="仿宋"/>
          <w:b/>
          <w:bCs/>
          <w:kern w:val="0"/>
          <w:sz w:val="28"/>
          <w:szCs w:val="20"/>
        </w:rPr>
        <w:t>附件</w:t>
      </w:r>
    </w:p>
    <w:p>
      <w:pPr>
        <w:widowControl/>
        <w:spacing w:line="590" w:lineRule="exact"/>
        <w:jc w:val="left"/>
        <w:outlineLvl w:val="1"/>
        <w:rPr>
          <w:rFonts w:hint="eastAsia" w:ascii="方正小标宋简体" w:eastAsia="方正小标宋简体"/>
          <w:bCs/>
          <w:kern w:val="0"/>
          <w:sz w:val="44"/>
          <w:szCs w:val="44"/>
        </w:rPr>
      </w:pPr>
    </w:p>
    <w:p>
      <w:pPr>
        <w:widowControl/>
        <w:spacing w:line="590" w:lineRule="exact"/>
        <w:jc w:val="center"/>
        <w:outlineLvl w:val="1"/>
        <w:rPr>
          <w:rFonts w:hint="eastAsia" w:ascii="方正小标宋简体" w:eastAsia="方正小标宋简体"/>
          <w:bCs/>
          <w:kern w:val="0"/>
          <w:sz w:val="44"/>
          <w:szCs w:val="44"/>
        </w:rPr>
      </w:pPr>
      <w:r>
        <w:rPr>
          <w:rFonts w:hint="eastAsia" w:ascii="方正小标宋简体" w:eastAsia="方正小标宋简体"/>
          <w:bCs/>
          <w:kern w:val="0"/>
          <w:sz w:val="44"/>
          <w:szCs w:val="44"/>
        </w:rPr>
        <w:t>广州市“十四五”土壤与地下水污染防治规划工作分工表</w:t>
      </w:r>
      <w:bookmarkEnd w:id="409"/>
      <w:bookmarkEnd w:id="410"/>
    </w:p>
    <w:p>
      <w:pPr>
        <w:widowControl/>
        <w:spacing w:line="590" w:lineRule="exact"/>
        <w:jc w:val="left"/>
        <w:outlineLvl w:val="1"/>
        <w:rPr>
          <w:rFonts w:hint="eastAsia" w:ascii="方正小标宋简体" w:eastAsia="方正小标宋简体"/>
          <w:bCs/>
          <w:kern w:val="0"/>
          <w:sz w:val="44"/>
          <w:szCs w:val="44"/>
        </w:rPr>
      </w:pPr>
    </w:p>
    <w:tbl>
      <w:tblPr>
        <w:tblStyle w:val="12"/>
        <w:tblW w:w="15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751"/>
        <w:gridCol w:w="2462"/>
        <w:gridCol w:w="3578"/>
        <w:gridCol w:w="2930"/>
        <w:gridCol w:w="4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黑体" w:hAnsi="宋体" w:eastAsia="黑体" w:cs="黑体"/>
                <w:kern w:val="0"/>
                <w:sz w:val="24"/>
              </w:rPr>
            </w:pPr>
            <w:r>
              <w:rPr>
                <w:rFonts w:hint="eastAsia" w:ascii="黑体" w:hAnsi="宋体" w:eastAsia="黑体" w:cs="黑体"/>
                <w:kern w:val="0"/>
                <w:sz w:val="24"/>
              </w:rPr>
              <w:t>序号</w:t>
            </w:r>
          </w:p>
        </w:tc>
        <w:tc>
          <w:tcPr>
            <w:tcW w:w="1751"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hint="eastAsia" w:ascii="黑体" w:hAnsi="宋体" w:eastAsia="黑体" w:cs="黑体"/>
                <w:kern w:val="0"/>
                <w:sz w:val="24"/>
              </w:rPr>
            </w:pPr>
            <w:r>
              <w:rPr>
                <w:rFonts w:hint="eastAsia" w:ascii="黑体" w:hAnsi="宋体" w:eastAsia="黑体" w:cs="黑体"/>
                <w:kern w:val="0"/>
                <w:sz w:val="24"/>
              </w:rPr>
              <w:t>条</w:t>
            </w:r>
          </w:p>
        </w:tc>
        <w:tc>
          <w:tcPr>
            <w:tcW w:w="2462"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hint="eastAsia" w:ascii="黑体" w:hAnsi="宋体" w:eastAsia="黑体" w:cs="黑体"/>
                <w:kern w:val="0"/>
                <w:sz w:val="24"/>
              </w:rPr>
            </w:pPr>
            <w:r>
              <w:rPr>
                <w:rFonts w:hint="eastAsia" w:ascii="黑体" w:hAnsi="宋体" w:eastAsia="黑体" w:cs="黑体"/>
                <w:kern w:val="0"/>
                <w:sz w:val="24"/>
              </w:rPr>
              <w:t>款</w:t>
            </w: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hint="eastAsia" w:ascii="黑体" w:hAnsi="宋体" w:eastAsia="黑体" w:cs="黑体"/>
                <w:kern w:val="0"/>
                <w:sz w:val="24"/>
              </w:rPr>
            </w:pPr>
            <w:r>
              <w:rPr>
                <w:rFonts w:hint="eastAsia" w:ascii="黑体" w:hAnsi="宋体" w:eastAsia="黑体" w:cs="黑体"/>
                <w:kern w:val="0"/>
                <w:sz w:val="24"/>
              </w:rPr>
              <w:t>主要内容</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hint="eastAsia" w:ascii="黑体" w:hAnsi="宋体" w:eastAsia="黑体" w:cs="黑体"/>
                <w:kern w:val="0"/>
                <w:sz w:val="24"/>
              </w:rPr>
            </w:pPr>
            <w:r>
              <w:rPr>
                <w:rFonts w:hint="eastAsia" w:ascii="黑体" w:hAnsi="宋体" w:eastAsia="黑体" w:cs="黑体"/>
                <w:kern w:val="0"/>
                <w:sz w:val="24"/>
              </w:rPr>
              <w:t>牵头部门</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hint="eastAsia" w:ascii="黑体" w:hAnsi="宋体" w:eastAsia="黑体" w:cs="黑体"/>
                <w:kern w:val="0"/>
                <w:sz w:val="24"/>
              </w:rPr>
            </w:pPr>
            <w:r>
              <w:rPr>
                <w:rFonts w:hint="eastAsia" w:ascii="黑体" w:hAnsi="宋体" w:eastAsia="黑体" w:cs="黑体"/>
                <w:kern w:val="0"/>
                <w:sz w:val="24"/>
              </w:rPr>
              <w:t>参与部门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1</w:t>
            </w:r>
          </w:p>
        </w:tc>
        <w:tc>
          <w:tcPr>
            <w:tcW w:w="1751" w:type="dxa"/>
            <w:vMerge w:val="restart"/>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（一）加强土壤生态环境保护与污染风险管控</w:t>
            </w:r>
          </w:p>
        </w:tc>
        <w:tc>
          <w:tcPr>
            <w:tcW w:w="2462" w:type="dxa"/>
            <w:vMerge w:val="restart"/>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ascii="宋体" w:hAnsi="宋体"/>
                <w:bCs/>
                <w:kern w:val="0"/>
                <w:sz w:val="24"/>
              </w:rPr>
              <w:t>1.</w:t>
            </w:r>
            <w:r>
              <w:rPr>
                <w:rFonts w:hint="eastAsia" w:ascii="宋体" w:hAnsi="宋体"/>
                <w:bCs/>
                <w:kern w:val="0"/>
                <w:sz w:val="24"/>
              </w:rPr>
              <w:t>进一步摸清土壤环境质量状况</w:t>
            </w: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开展土壤环境状况调查</w:t>
            </w:r>
          </w:p>
        </w:tc>
        <w:tc>
          <w:tcPr>
            <w:tcW w:w="7593" w:type="dxa"/>
            <w:gridSpan w:val="2"/>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市生态环境局、农业农村局、林业园林局按职责分工负责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2</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开展耕地土壤污染源排查整治</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市规划和自然资源局、水务局、农业农村局等参与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3</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开展镉等重金属污染防治管控</w:t>
            </w:r>
          </w:p>
          <w:p>
            <w:pPr>
              <w:snapToGrid w:val="0"/>
              <w:jc w:val="center"/>
              <w:rPr>
                <w:rFonts w:ascii="宋体" w:hAnsi="宋体"/>
                <w:bCs/>
                <w:kern w:val="0"/>
                <w:sz w:val="24"/>
              </w:rPr>
            </w:pPr>
            <w:r>
              <w:rPr>
                <w:rFonts w:hint="eastAsia" w:ascii="宋体" w:hAnsi="宋体"/>
                <w:bCs/>
                <w:kern w:val="0"/>
                <w:sz w:val="24"/>
              </w:rPr>
              <w:t>成效评估</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市规划和自然资源局、农业农村局参与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4</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restart"/>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ascii="宋体" w:hAnsi="宋体"/>
                <w:bCs/>
                <w:kern w:val="0"/>
                <w:sz w:val="24"/>
              </w:rPr>
              <w:t>2.</w:t>
            </w:r>
            <w:r>
              <w:rPr>
                <w:rFonts w:hint="eastAsia" w:ascii="宋体" w:hAnsi="宋体"/>
                <w:bCs/>
                <w:kern w:val="0"/>
                <w:sz w:val="24"/>
              </w:rPr>
              <w:t>持续推进土壤污染源头防控</w:t>
            </w: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强化空间布局管控</w:t>
            </w:r>
          </w:p>
        </w:tc>
        <w:tc>
          <w:tcPr>
            <w:tcW w:w="7593" w:type="dxa"/>
            <w:gridSpan w:val="2"/>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市发展改革委、工业和信息化局、规划和自然资源局、</w:t>
            </w:r>
          </w:p>
          <w:p>
            <w:pPr>
              <w:snapToGrid w:val="0"/>
              <w:jc w:val="center"/>
              <w:rPr>
                <w:rFonts w:ascii="宋体" w:hAnsi="宋体"/>
                <w:kern w:val="0"/>
                <w:sz w:val="24"/>
              </w:rPr>
            </w:pPr>
            <w:r>
              <w:rPr>
                <w:rFonts w:hint="eastAsia" w:ascii="宋体" w:hAnsi="宋体"/>
                <w:kern w:val="0"/>
                <w:sz w:val="24"/>
              </w:rPr>
              <w:t>生态环境局按职责分工负责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5</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严守环境准入底线</w:t>
            </w:r>
          </w:p>
        </w:tc>
        <w:tc>
          <w:tcPr>
            <w:tcW w:w="7593" w:type="dxa"/>
            <w:gridSpan w:val="2"/>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市发展改革委、规划和自然资源局、生态环境局按职责分工负责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6</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sz w:val="24"/>
              </w:rPr>
            </w:pPr>
            <w:r>
              <w:rPr>
                <w:rFonts w:hint="eastAsia" w:ascii="宋体" w:hAnsi="宋体"/>
                <w:bCs/>
                <w:kern w:val="0"/>
                <w:sz w:val="24"/>
              </w:rPr>
              <w:t>落实现状调查与环境影响评价</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市发展改革委等参与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7</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加强涉重金属行业污染防控</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市工业和信息化局、规划和自然资源局等参与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8</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bCs/>
                <w:kern w:val="0"/>
                <w:sz w:val="24"/>
              </w:rPr>
            </w:pPr>
            <w:r>
              <w:rPr>
                <w:rFonts w:hint="eastAsia" w:ascii="宋体" w:hAnsi="宋体"/>
                <w:bCs/>
                <w:kern w:val="0"/>
                <w:sz w:val="24"/>
              </w:rPr>
              <w:t>强化土壤污染重点监管单位监管</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kern w:val="0"/>
                <w:sz w:val="24"/>
              </w:rPr>
            </w:pPr>
            <w:r>
              <w:rPr>
                <w:rFonts w:hint="eastAsia" w:ascii="宋体" w:hAnsi="宋体"/>
                <w:kern w:val="0"/>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kern w:val="0"/>
                <w:sz w:val="24"/>
              </w:rPr>
            </w:pPr>
            <w:r>
              <w:rPr>
                <w:rFonts w:hint="eastAsia" w:ascii="宋体" w:hAnsi="宋体"/>
                <w:kern w:val="0"/>
                <w:sz w:val="24"/>
              </w:rPr>
              <w:t>市工业和信息化局等参与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9</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bCs/>
                <w:kern w:val="0"/>
                <w:sz w:val="24"/>
              </w:rPr>
            </w:pPr>
            <w:r>
              <w:rPr>
                <w:rFonts w:hint="eastAsia" w:ascii="宋体" w:hAnsi="宋体"/>
                <w:bCs/>
                <w:kern w:val="0"/>
                <w:sz w:val="24"/>
              </w:rPr>
              <w:t>防控矿产资源开发污染土壤</w:t>
            </w:r>
          </w:p>
        </w:tc>
        <w:tc>
          <w:tcPr>
            <w:tcW w:w="7593" w:type="dxa"/>
            <w:gridSpan w:val="2"/>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kern w:val="0"/>
                <w:sz w:val="24"/>
              </w:rPr>
            </w:pPr>
            <w:r>
              <w:rPr>
                <w:rFonts w:hint="eastAsia" w:ascii="宋体" w:hAnsi="宋体"/>
                <w:kern w:val="0"/>
                <w:sz w:val="24"/>
              </w:rPr>
              <w:t>市规划和自然资源局、生态环境局按职责分工负责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sz w:val="24"/>
              </w:rPr>
            </w:pPr>
            <w:r>
              <w:rPr>
                <w:rFonts w:ascii="宋体" w:hAnsi="宋体"/>
                <w:kern w:val="0"/>
                <w:sz w:val="24"/>
              </w:rPr>
              <w:t>11</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restart"/>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ascii="宋体" w:hAnsi="宋体"/>
                <w:bCs/>
                <w:kern w:val="0"/>
                <w:sz w:val="24"/>
              </w:rPr>
              <w:t>3.</w:t>
            </w:r>
            <w:r>
              <w:rPr>
                <w:rFonts w:hint="eastAsia" w:ascii="宋体" w:hAnsi="宋体"/>
                <w:bCs/>
                <w:kern w:val="0"/>
                <w:sz w:val="24"/>
              </w:rPr>
              <w:t>稳步推进耕地保护和分类管理</w:t>
            </w: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动态调整耕地土壤环境质量类别</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bCs/>
                <w:kern w:val="0"/>
                <w:sz w:val="24"/>
              </w:rPr>
            </w:pPr>
            <w:r>
              <w:rPr>
                <w:rFonts w:hint="eastAsia" w:ascii="宋体" w:hAnsi="宋体"/>
                <w:kern w:val="0"/>
                <w:sz w:val="24"/>
              </w:rPr>
              <w:t>市农业农村局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市规划和自然资源局、生态环境局等参与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sz w:val="24"/>
              </w:rPr>
            </w:pPr>
            <w:r>
              <w:rPr>
                <w:rFonts w:ascii="宋体" w:hAnsi="宋体"/>
                <w:kern w:val="0"/>
                <w:sz w:val="24"/>
              </w:rPr>
              <w:t>12</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实施耕地质量保护与提升行动</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bCs/>
                <w:kern w:val="0"/>
                <w:sz w:val="24"/>
              </w:rPr>
            </w:pPr>
            <w:r>
              <w:rPr>
                <w:rFonts w:hint="eastAsia" w:ascii="宋体" w:hAnsi="宋体"/>
                <w:kern w:val="0"/>
                <w:sz w:val="24"/>
              </w:rPr>
              <w:t>市农业农村局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市市场监管局，市供销合作总社等参与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13</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持续推进受污染耕地安全利用</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市农业农村局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kern w:val="0"/>
                <w:sz w:val="24"/>
              </w:rPr>
            </w:pPr>
            <w:r>
              <w:rPr>
                <w:rFonts w:hint="eastAsia" w:ascii="宋体" w:hAnsi="宋体"/>
                <w:kern w:val="0"/>
                <w:sz w:val="24"/>
              </w:rPr>
              <w:t>市规划和自然资源局、生态环境局等参与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14</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全面落实严格管控措施</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kern w:val="0"/>
                <w:sz w:val="24"/>
              </w:rPr>
              <w:t>市农业农村局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市规划和自然资源局、生态环境局等参与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15</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严禁重金属超标粮食进入口粮市场</w:t>
            </w:r>
          </w:p>
        </w:tc>
        <w:tc>
          <w:tcPr>
            <w:tcW w:w="7593" w:type="dxa"/>
            <w:gridSpan w:val="2"/>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市发展改革委、农业农村局、市场监管局，市供销合作总社按职责分工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16</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restart"/>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bCs/>
                <w:kern w:val="0"/>
                <w:sz w:val="24"/>
              </w:rPr>
            </w:pPr>
            <w:r>
              <w:rPr>
                <w:rFonts w:ascii="宋体" w:hAnsi="宋体"/>
                <w:bCs/>
                <w:kern w:val="0"/>
                <w:sz w:val="24"/>
              </w:rPr>
              <w:t>4.</w:t>
            </w:r>
            <w:r>
              <w:rPr>
                <w:rFonts w:hint="eastAsia" w:ascii="宋体" w:hAnsi="宋体"/>
                <w:bCs/>
                <w:kern w:val="0"/>
                <w:sz w:val="24"/>
              </w:rPr>
              <w:t>逐步完善建设用地准入管理</w:t>
            </w: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健全土壤污染状况调查名录</w:t>
            </w:r>
          </w:p>
        </w:tc>
        <w:tc>
          <w:tcPr>
            <w:tcW w:w="7593" w:type="dxa"/>
            <w:gridSpan w:val="2"/>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市规划和自然资源局、生态环境局、工业和信息化局等按职责分工负责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17</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持续推进土壤污染状况调查评估</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市规划和自然资源局、生态环境局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市工业和信息化局等参与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sz w:val="24"/>
              </w:rPr>
            </w:pPr>
            <w:r>
              <w:rPr>
                <w:rFonts w:ascii="宋体" w:hAnsi="宋体"/>
                <w:kern w:val="0"/>
                <w:sz w:val="24"/>
              </w:rPr>
              <w:t>18</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探索提前开展土壤污染状况调查</w:t>
            </w:r>
          </w:p>
        </w:tc>
        <w:tc>
          <w:tcPr>
            <w:tcW w:w="7593" w:type="dxa"/>
            <w:gridSpan w:val="2"/>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市规划和自然资源局、生态环境局按职责分工负责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19</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合理规划地块用途</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市规划和自然资源局、市住房城乡建设局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市生态环境局等参与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sz w:val="24"/>
              </w:rPr>
            </w:pPr>
            <w:r>
              <w:rPr>
                <w:rFonts w:ascii="宋体" w:hAnsi="宋体"/>
                <w:kern w:val="0"/>
                <w:sz w:val="24"/>
              </w:rPr>
              <w:t>20</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严格土地供应和开发利用等环节监管</w:t>
            </w:r>
          </w:p>
        </w:tc>
        <w:tc>
          <w:tcPr>
            <w:tcW w:w="7593" w:type="dxa"/>
            <w:gridSpan w:val="2"/>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市规划和自然资源局、生态环境局、住房城乡建设局按职责分工负责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sz w:val="24"/>
              </w:rPr>
            </w:pPr>
            <w:r>
              <w:rPr>
                <w:rFonts w:ascii="宋体" w:hAnsi="宋体"/>
                <w:kern w:val="0"/>
                <w:sz w:val="24"/>
              </w:rPr>
              <w:t>14</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优化土地开发和使用时序</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市规划和自然资源局、住房城乡建设局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市生态环境局等参与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sz w:val="24"/>
              </w:rPr>
            </w:pPr>
            <w:r>
              <w:rPr>
                <w:rFonts w:ascii="宋体" w:hAnsi="宋体"/>
                <w:kern w:val="0"/>
                <w:sz w:val="24"/>
              </w:rPr>
              <w:t>22</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强化部门信息共享</w:t>
            </w:r>
          </w:p>
        </w:tc>
        <w:tc>
          <w:tcPr>
            <w:tcW w:w="7593" w:type="dxa"/>
            <w:gridSpan w:val="2"/>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市规划和自然资源局、生态环境局按职责分工负责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23</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加强联动监管</w:t>
            </w:r>
          </w:p>
        </w:tc>
        <w:tc>
          <w:tcPr>
            <w:tcW w:w="7593" w:type="dxa"/>
            <w:gridSpan w:val="2"/>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市规划和自然资源局、生态环境局、住房城乡建设局按职责分工负责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24</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restart"/>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bCs/>
                <w:kern w:val="0"/>
                <w:sz w:val="24"/>
              </w:rPr>
            </w:pPr>
            <w:r>
              <w:rPr>
                <w:rFonts w:ascii="宋体" w:hAnsi="宋体"/>
                <w:bCs/>
                <w:kern w:val="0"/>
                <w:sz w:val="24"/>
              </w:rPr>
              <w:t>5.</w:t>
            </w:r>
            <w:r>
              <w:rPr>
                <w:rFonts w:hint="eastAsia" w:ascii="宋体" w:hAnsi="宋体"/>
                <w:bCs/>
                <w:kern w:val="0"/>
                <w:sz w:val="24"/>
              </w:rPr>
              <w:t>有序推进建设用地风险管控与修复</w:t>
            </w: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强化地块修复活动过程监管</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sz w:val="24"/>
              </w:rPr>
            </w:pPr>
            <w:r>
              <w:rPr>
                <w:rFonts w:hint="eastAsia" w:ascii="宋体" w:hAnsi="宋体"/>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sz w:val="24"/>
              </w:rPr>
            </w:pPr>
            <w:r>
              <w:rPr>
                <w:rFonts w:hint="eastAsia" w:ascii="宋体" w:hAnsi="宋体"/>
                <w:sz w:val="24"/>
              </w:rPr>
              <w:t>市规划和自然资源局、住房城乡建设局等参与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25</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强化风险管控地块后期监管</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市规划和自然资源局、住房城乡建设局参与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26</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管控暂不开发利用污染地块</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sz w:val="24"/>
              </w:rPr>
            </w:pPr>
            <w:r>
              <w:rPr>
                <w:rFonts w:hint="eastAsia" w:ascii="宋体" w:hAnsi="宋体"/>
                <w:kern w:val="0"/>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sz w:val="24"/>
              </w:rPr>
            </w:pPr>
            <w:r>
              <w:rPr>
                <w:rFonts w:hint="eastAsia" w:ascii="宋体" w:hAnsi="宋体"/>
                <w:sz w:val="24"/>
              </w:rPr>
              <w:t>市规划和自然资源局等参与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27</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探索污染地块风险管控与修复新模式</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sz w:val="24"/>
              </w:rPr>
            </w:pPr>
            <w:r>
              <w:rPr>
                <w:rFonts w:hint="eastAsia" w:ascii="宋体" w:hAnsi="宋体"/>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sz w:val="24"/>
              </w:rPr>
            </w:pPr>
            <w:r>
              <w:rPr>
                <w:rFonts w:hint="eastAsia" w:ascii="宋体" w:hAnsi="宋体"/>
                <w:sz w:val="24"/>
              </w:rPr>
              <w:t>市规划和自然资源局等参与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28</w:t>
            </w:r>
          </w:p>
        </w:tc>
        <w:tc>
          <w:tcPr>
            <w:tcW w:w="1751" w:type="dxa"/>
            <w:vMerge w:val="restart"/>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bCs/>
                <w:kern w:val="0"/>
                <w:sz w:val="24"/>
              </w:rPr>
            </w:pPr>
            <w:r>
              <w:rPr>
                <w:rFonts w:hint="eastAsia" w:ascii="宋体" w:hAnsi="宋体"/>
                <w:bCs/>
                <w:kern w:val="0"/>
                <w:sz w:val="24"/>
              </w:rPr>
              <w:t>（二）扎实推进地下水污染防治</w:t>
            </w:r>
          </w:p>
        </w:tc>
        <w:tc>
          <w:tcPr>
            <w:tcW w:w="2462" w:type="dxa"/>
            <w:vMerge w:val="restart"/>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ascii="宋体" w:hAnsi="宋体"/>
                <w:bCs/>
                <w:kern w:val="0"/>
                <w:sz w:val="24"/>
              </w:rPr>
              <w:t>1.</w:t>
            </w:r>
            <w:r>
              <w:rPr>
                <w:rFonts w:hint="eastAsia" w:ascii="宋体" w:hAnsi="宋体"/>
                <w:bCs/>
                <w:kern w:val="0"/>
                <w:sz w:val="24"/>
              </w:rPr>
              <w:t>持续推进地下水环境状况调查</w:t>
            </w: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开展重点污染源周边地下水环境状况调查</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sz w:val="24"/>
              </w:rPr>
            </w:pPr>
            <w:r>
              <w:rPr>
                <w:rFonts w:hint="eastAsia" w:ascii="宋体" w:hAnsi="宋体"/>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sz w:val="24"/>
              </w:rPr>
            </w:pPr>
            <w:r>
              <w:rPr>
                <w:rFonts w:hint="eastAsia" w:ascii="宋体" w:hAnsi="宋体"/>
                <w:sz w:val="24"/>
              </w:rPr>
              <w:t>市规划和自然资源局、水务局、农业农村局等参与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29</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开展典型区域地下水生态环境</w:t>
            </w:r>
          </w:p>
          <w:p>
            <w:pPr>
              <w:snapToGrid w:val="0"/>
              <w:jc w:val="center"/>
              <w:rPr>
                <w:rFonts w:ascii="宋体" w:hAnsi="宋体"/>
                <w:bCs/>
                <w:kern w:val="0"/>
                <w:sz w:val="24"/>
              </w:rPr>
            </w:pPr>
            <w:r>
              <w:rPr>
                <w:rFonts w:hint="eastAsia" w:ascii="宋体" w:hAnsi="宋体"/>
                <w:bCs/>
                <w:kern w:val="0"/>
                <w:sz w:val="24"/>
              </w:rPr>
              <w:t>调查</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sz w:val="24"/>
              </w:rPr>
            </w:pPr>
            <w:r>
              <w:rPr>
                <w:rFonts w:hint="eastAsia" w:ascii="宋体" w:hAnsi="宋体"/>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sz w:val="24"/>
              </w:rPr>
            </w:pPr>
            <w:r>
              <w:rPr>
                <w:rFonts w:hint="eastAsia" w:ascii="宋体" w:hAnsi="宋体"/>
                <w:sz w:val="24"/>
              </w:rPr>
              <w:t>市规划和自然资源局、水务局、农业农村局等参与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30</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restart"/>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ascii="宋体" w:hAnsi="宋体"/>
                <w:bCs/>
                <w:kern w:val="0"/>
                <w:sz w:val="24"/>
              </w:rPr>
              <w:t>2.</w:t>
            </w:r>
            <w:r>
              <w:rPr>
                <w:rFonts w:hint="eastAsia" w:ascii="宋体" w:hAnsi="宋体"/>
                <w:bCs/>
                <w:kern w:val="0"/>
                <w:sz w:val="24"/>
              </w:rPr>
              <w:t>建立地下水生态环境管理体系</w:t>
            </w: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强化地下水环境质量目标管理</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sz w:val="24"/>
              </w:rPr>
              <w:t>市规划和自然资源局、水务局等参与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31</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逐步实施地下水环境分区管理。</w:t>
            </w:r>
          </w:p>
        </w:tc>
        <w:tc>
          <w:tcPr>
            <w:tcW w:w="7593" w:type="dxa"/>
            <w:gridSpan w:val="2"/>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市规划和自然资源局、生态环境局、水务局按职责分工负责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32</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建立地下水污染防治重点排污</w:t>
            </w:r>
          </w:p>
          <w:p>
            <w:pPr>
              <w:snapToGrid w:val="0"/>
              <w:jc w:val="center"/>
              <w:rPr>
                <w:rFonts w:ascii="宋体" w:hAnsi="宋体"/>
                <w:bCs/>
                <w:kern w:val="0"/>
                <w:sz w:val="24"/>
              </w:rPr>
            </w:pPr>
            <w:r>
              <w:rPr>
                <w:rFonts w:hint="eastAsia" w:ascii="宋体" w:hAnsi="宋体"/>
                <w:bCs/>
                <w:kern w:val="0"/>
                <w:sz w:val="24"/>
              </w:rPr>
              <w:t>单位名录</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sz w:val="24"/>
              </w:rPr>
            </w:pPr>
            <w:r>
              <w:rPr>
                <w:rFonts w:hint="eastAsia" w:ascii="宋体" w:hAnsi="宋体"/>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sz w:val="24"/>
              </w:rPr>
            </w:pP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33</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restart"/>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ascii="宋体" w:hAnsi="宋体"/>
                <w:bCs/>
                <w:kern w:val="0"/>
                <w:sz w:val="24"/>
              </w:rPr>
              <w:t>3.</w:t>
            </w:r>
            <w:r>
              <w:rPr>
                <w:rFonts w:hint="eastAsia" w:ascii="宋体" w:hAnsi="宋体"/>
                <w:bCs/>
                <w:kern w:val="0"/>
                <w:sz w:val="24"/>
              </w:rPr>
              <w:t>加强地下水污染源头预防、风险管控与修复</w:t>
            </w: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落实地下水重点污染源防渗和</w:t>
            </w:r>
          </w:p>
          <w:p>
            <w:pPr>
              <w:snapToGrid w:val="0"/>
              <w:jc w:val="center"/>
              <w:rPr>
                <w:rFonts w:ascii="宋体" w:hAnsi="宋体"/>
                <w:bCs/>
                <w:kern w:val="0"/>
                <w:sz w:val="24"/>
              </w:rPr>
            </w:pPr>
            <w:r>
              <w:rPr>
                <w:rFonts w:hint="eastAsia" w:ascii="宋体" w:hAnsi="宋体"/>
                <w:bCs/>
                <w:kern w:val="0"/>
                <w:sz w:val="24"/>
              </w:rPr>
              <w:t>监测措施</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widowControl/>
              <w:snapToGrid w:val="0"/>
              <w:jc w:val="center"/>
              <w:rPr>
                <w:rFonts w:ascii="宋体" w:hAnsi="宋体"/>
                <w:kern w:val="0"/>
                <w:sz w:val="24"/>
              </w:rPr>
            </w:pPr>
            <w:r>
              <w:rPr>
                <w:rFonts w:hint="eastAsia" w:ascii="宋体" w:hAnsi="宋体"/>
                <w:kern w:val="0"/>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市住房城乡建设局等参与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34</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有序实施地下水污染风险管控和修复</w:t>
            </w:r>
          </w:p>
        </w:tc>
        <w:tc>
          <w:tcPr>
            <w:tcW w:w="7593" w:type="dxa"/>
            <w:gridSpan w:val="2"/>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市工业和信息化局、规划和自然资源局、生态环境局、住房城乡建设局、水务局按职责分工负责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35</w:t>
            </w:r>
          </w:p>
        </w:tc>
        <w:tc>
          <w:tcPr>
            <w:tcW w:w="1751" w:type="dxa"/>
            <w:vMerge w:val="restart"/>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（三）全面提升监管与支撑能力</w:t>
            </w:r>
          </w:p>
        </w:tc>
        <w:tc>
          <w:tcPr>
            <w:tcW w:w="2462"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ascii="宋体" w:hAnsi="宋体"/>
                <w:bCs/>
                <w:kern w:val="0"/>
                <w:sz w:val="24"/>
              </w:rPr>
              <w:t>1.</w:t>
            </w:r>
            <w:r>
              <w:rPr>
                <w:rFonts w:hint="eastAsia" w:ascii="宋体" w:hAnsi="宋体"/>
                <w:bCs/>
                <w:kern w:val="0"/>
                <w:sz w:val="24"/>
              </w:rPr>
              <w:t>完善管理制度体系</w:t>
            </w: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完善管理制度体系</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市工业和信息化局、规划和自然资源局、水务局、农业农村局、林业园林局等参与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36</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ascii="宋体" w:hAnsi="宋体"/>
                <w:bCs/>
                <w:kern w:val="0"/>
                <w:sz w:val="24"/>
              </w:rPr>
              <w:t>2.</w:t>
            </w:r>
            <w:r>
              <w:rPr>
                <w:rFonts w:hint="eastAsia" w:ascii="宋体" w:hAnsi="宋体"/>
                <w:bCs/>
                <w:kern w:val="0"/>
                <w:sz w:val="24"/>
              </w:rPr>
              <w:t>优化环境监测网络</w:t>
            </w: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优化环境监测网络</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市规划和自然资源局、水务局、农业农村局、林业园林局等参与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37</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ascii="宋体" w:hAnsi="宋体"/>
                <w:bCs/>
                <w:kern w:val="0"/>
                <w:sz w:val="24"/>
              </w:rPr>
              <w:t>3.</w:t>
            </w:r>
            <w:r>
              <w:rPr>
                <w:rFonts w:hint="eastAsia" w:ascii="宋体" w:hAnsi="宋体"/>
                <w:bCs/>
                <w:kern w:val="0"/>
                <w:sz w:val="24"/>
              </w:rPr>
              <w:t>提升生态环境监管能力</w:t>
            </w: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提升生态环境监管能力</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市规划和自然资源局、农业农村局、林业园林局等参与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38</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ascii="宋体" w:hAnsi="宋体"/>
                <w:bCs/>
                <w:kern w:val="0"/>
                <w:sz w:val="24"/>
              </w:rPr>
              <w:t>4.</w:t>
            </w:r>
            <w:r>
              <w:rPr>
                <w:rFonts w:hint="eastAsia" w:ascii="宋体" w:hAnsi="宋体"/>
                <w:bCs/>
                <w:kern w:val="0"/>
                <w:sz w:val="24"/>
              </w:rPr>
              <w:t>强化生态环境监管执法</w:t>
            </w: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强化生态环境监管执法</w:t>
            </w:r>
          </w:p>
        </w:tc>
        <w:tc>
          <w:tcPr>
            <w:tcW w:w="2930"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市生态环境局</w:t>
            </w:r>
          </w:p>
        </w:tc>
        <w:tc>
          <w:tcPr>
            <w:tcW w:w="4663"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市规划和自然资源局、农业农村局、林业园林局等参与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39</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ascii="宋体" w:hAnsi="宋体"/>
                <w:bCs/>
                <w:kern w:val="0"/>
                <w:sz w:val="24"/>
              </w:rPr>
              <w:t>5.</w:t>
            </w:r>
            <w:r>
              <w:rPr>
                <w:rFonts w:hint="eastAsia" w:ascii="宋体" w:hAnsi="宋体"/>
                <w:bCs/>
                <w:kern w:val="0"/>
                <w:sz w:val="24"/>
              </w:rPr>
              <w:t>强化污染防治科技支撑能力</w:t>
            </w: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bCs/>
                <w:kern w:val="0"/>
                <w:sz w:val="24"/>
              </w:rPr>
              <w:t>强化污染防治科技支撑能力</w:t>
            </w:r>
          </w:p>
        </w:tc>
        <w:tc>
          <w:tcPr>
            <w:tcW w:w="759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kern w:val="0"/>
                <w:sz w:val="24"/>
              </w:rPr>
            </w:pPr>
            <w:r>
              <w:rPr>
                <w:rFonts w:hint="eastAsia" w:ascii="宋体" w:hAnsi="宋体"/>
                <w:kern w:val="0"/>
                <w:sz w:val="24"/>
              </w:rPr>
              <w:t>市教育局、科技局、财政局、规划和自然资源局、生态环境局、农业农村局、卫生健康委、林业园林局按职责分工负责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kern w:val="0"/>
                <w:sz w:val="24"/>
              </w:rPr>
            </w:pPr>
            <w:r>
              <w:rPr>
                <w:rFonts w:ascii="宋体" w:hAnsi="宋体"/>
                <w:kern w:val="0"/>
                <w:sz w:val="24"/>
              </w:rPr>
              <w:t>40</w:t>
            </w:r>
          </w:p>
        </w:tc>
        <w:tc>
          <w:tcPr>
            <w:tcW w:w="1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kern w:val="0"/>
                <w:sz w:val="24"/>
              </w:rPr>
            </w:pPr>
          </w:p>
        </w:tc>
        <w:tc>
          <w:tcPr>
            <w:tcW w:w="2462"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ascii="宋体" w:hAnsi="宋体"/>
                <w:bCs/>
                <w:kern w:val="0"/>
                <w:sz w:val="24"/>
              </w:rPr>
              <w:t>6.</w:t>
            </w:r>
            <w:r>
              <w:rPr>
                <w:rFonts w:hint="eastAsia" w:ascii="宋体" w:hAnsi="宋体"/>
                <w:bCs/>
                <w:kern w:val="0"/>
                <w:sz w:val="24"/>
              </w:rPr>
              <w:t>规范风险管控与修复行业良性发展</w:t>
            </w:r>
          </w:p>
        </w:tc>
        <w:tc>
          <w:tcPr>
            <w:tcW w:w="3578" w:type="dxa"/>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bCs/>
                <w:kern w:val="0"/>
                <w:sz w:val="24"/>
              </w:rPr>
            </w:pPr>
            <w:r>
              <w:rPr>
                <w:rFonts w:hint="eastAsia" w:ascii="宋体" w:hAnsi="宋体"/>
                <w:bCs/>
                <w:kern w:val="0"/>
                <w:sz w:val="24"/>
              </w:rPr>
              <w:t>规范风险管控与修复行业良性</w:t>
            </w:r>
          </w:p>
          <w:p>
            <w:pPr>
              <w:snapToGrid w:val="0"/>
              <w:jc w:val="center"/>
              <w:rPr>
                <w:rFonts w:ascii="宋体" w:hAnsi="宋体"/>
                <w:bCs/>
                <w:kern w:val="0"/>
                <w:sz w:val="24"/>
              </w:rPr>
            </w:pPr>
            <w:r>
              <w:rPr>
                <w:rFonts w:hint="eastAsia" w:ascii="宋体" w:hAnsi="宋体"/>
                <w:bCs/>
                <w:kern w:val="0"/>
                <w:sz w:val="24"/>
              </w:rPr>
              <w:t>发展</w:t>
            </w:r>
          </w:p>
        </w:tc>
        <w:tc>
          <w:tcPr>
            <w:tcW w:w="7593" w:type="dxa"/>
            <w:gridSpan w:val="2"/>
            <w:tcBorders>
              <w:top w:val="single" w:color="auto" w:sz="4" w:space="0"/>
              <w:left w:val="single" w:color="auto" w:sz="4" w:space="0"/>
              <w:bottom w:val="single" w:color="auto" w:sz="4" w:space="0"/>
              <w:right w:val="single" w:color="auto" w:sz="4" w:space="0"/>
            </w:tcBorders>
            <w:noWrap w:val="0"/>
            <w:tcMar>
              <w:top w:w="0" w:type="dxa"/>
              <w:left w:w="51" w:type="dxa"/>
              <w:bottom w:w="0" w:type="dxa"/>
              <w:right w:w="51" w:type="dxa"/>
            </w:tcMar>
            <w:vAlign w:val="center"/>
          </w:tcPr>
          <w:p>
            <w:pPr>
              <w:snapToGrid w:val="0"/>
              <w:jc w:val="center"/>
              <w:rPr>
                <w:rFonts w:ascii="宋体" w:hAnsi="宋体"/>
                <w:kern w:val="0"/>
                <w:sz w:val="24"/>
              </w:rPr>
            </w:pPr>
            <w:r>
              <w:rPr>
                <w:rFonts w:hint="eastAsia" w:ascii="宋体" w:hAnsi="宋体"/>
                <w:kern w:val="0"/>
                <w:sz w:val="24"/>
              </w:rPr>
              <w:t>市生态环境局、市场监管局按职责分工负责</w:t>
            </w:r>
          </w:p>
        </w:tc>
      </w:tr>
      <w:bookmarkEnd w:id="411"/>
      <w:bookmarkEnd w:id="412"/>
    </w:tbl>
    <w:p>
      <w:pPr>
        <w:widowControl/>
        <w:jc w:val="left"/>
        <w:sectPr>
          <w:pgSz w:w="16838" w:h="11906" w:orient="landscape"/>
          <w:pgMar w:top="1418" w:right="1134" w:bottom="1134" w:left="1134" w:header="1134" w:footer="1134"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61C65"/>
    <w:multiLevelType w:val="singleLevel"/>
    <w:tmpl w:val="AA761C65"/>
    <w:lvl w:ilvl="0" w:tentative="0">
      <w:start w:val="2"/>
      <w:numFmt w:val="chineseCounting"/>
      <w:suff w:val="nothing"/>
      <w:lvlText w:val="（%1）"/>
      <w:lvlJc w:val="left"/>
      <w:pPr>
        <w:ind w:left="-2" w:firstLine="0"/>
      </w:pPr>
    </w:lvl>
  </w:abstractNum>
  <w:abstractNum w:abstractNumId="1">
    <w:nsid w:val="48582921"/>
    <w:multiLevelType w:val="multilevel"/>
    <w:tmpl w:val="48582921"/>
    <w:lvl w:ilvl="0" w:tentative="0">
      <w:start w:val="1"/>
      <w:numFmt w:val="japaneseCounting"/>
      <w:lvlText w:val="（%1）"/>
      <w:lvlJc w:val="left"/>
      <w:pPr>
        <w:ind w:left="1633" w:hanging="99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lvlOverride w:ilvl="0">
      <w:startOverride w:val="2"/>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MzRiOTRkNGYyODk1MmU5YzZlNDcwNzMzMWQxNzEifQ=="/>
  </w:docVars>
  <w:rsids>
    <w:rsidRoot w:val="676259A2"/>
    <w:rsid w:val="67625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spacing w:before="340" w:after="330" w:line="576" w:lineRule="auto"/>
      <w:outlineLvl w:val="0"/>
    </w:pPr>
    <w:rPr>
      <w:rFonts w:ascii="Times New Roman" w:hAnsi="Times New Roman" w:eastAsia="仿宋" w:cs="Times New Roman"/>
      <w:b/>
      <w:bCs/>
      <w:kern w:val="44"/>
      <w:sz w:val="32"/>
      <w:szCs w:val="44"/>
      <w:lang w:val="en-US" w:eastAsia="zh-CN" w:bidi="ar-SA"/>
    </w:rPr>
  </w:style>
  <w:style w:type="paragraph" w:styleId="3">
    <w:name w:val="heading 2"/>
    <w:next w:val="1"/>
    <w:qFormat/>
    <w:uiPriority w:val="0"/>
    <w:pPr>
      <w:keepNext/>
      <w:keepLines/>
      <w:spacing w:before="120" w:after="120" w:line="360" w:lineRule="auto"/>
      <w:outlineLvl w:val="1"/>
    </w:pPr>
    <w:rPr>
      <w:rFonts w:ascii="等线 Light" w:hAnsi="等线 Light" w:eastAsia="仿宋" w:cs="宋体"/>
      <w:b/>
      <w:bCs/>
      <w:sz w:val="30"/>
      <w:szCs w:val="32"/>
      <w:lang w:val="en-US" w:eastAsia="zh-CN" w:bidi="ar-SA"/>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caption"/>
    <w:next w:val="1"/>
    <w:qFormat/>
    <w:uiPriority w:val="0"/>
    <w:pPr>
      <w:spacing w:line="360" w:lineRule="auto"/>
    </w:pPr>
    <w:rPr>
      <w:rFonts w:ascii="Arial" w:hAnsi="Arial" w:eastAsia="黑体" w:cs="Times New Roman"/>
      <w:lang w:val="en-US" w:eastAsia="zh-CN" w:bidi="ar-SA"/>
    </w:rPr>
  </w:style>
  <w:style w:type="paragraph" w:styleId="5">
    <w:name w:val="annotation text"/>
    <w:qFormat/>
    <w:uiPriority w:val="0"/>
    <w:pPr>
      <w:spacing w:line="360" w:lineRule="auto"/>
    </w:pPr>
    <w:rPr>
      <w:rFonts w:ascii="Times New Roman" w:hAnsi="Times New Roman" w:eastAsia="仿宋" w:cs="Times New Roman"/>
      <w:sz w:val="28"/>
      <w:lang w:val="en-US" w:eastAsia="zh-CN" w:bidi="ar-SA"/>
    </w:rPr>
  </w:style>
  <w:style w:type="paragraph" w:styleId="6">
    <w:name w:val="Body Text Indent"/>
    <w:basedOn w:val="1"/>
    <w:qFormat/>
    <w:uiPriority w:val="0"/>
    <w:pPr>
      <w:spacing w:line="560" w:lineRule="exact"/>
      <w:ind w:firstLine="600" w:firstLineChars="200"/>
      <w:outlineLvl w:val="0"/>
    </w:pPr>
    <w:rPr>
      <w:rFonts w:ascii="仿宋_GB2312" w:eastAsia="仿宋_GB2312"/>
      <w:sz w:val="30"/>
    </w:rPr>
  </w:style>
  <w:style w:type="paragraph" w:styleId="7">
    <w:name w:val="Block Text"/>
    <w:qFormat/>
    <w:uiPriority w:val="0"/>
    <w:pPr>
      <w:spacing w:after="120" w:line="360" w:lineRule="auto"/>
      <w:ind w:left="1440" w:leftChars="700" w:right="1440" w:rightChars="700"/>
    </w:pPr>
    <w:rPr>
      <w:rFonts w:ascii="Calibri" w:hAnsi="Calibri" w:eastAsia="仿宋_GB2312" w:cs="Calibri"/>
      <w:sz w:val="32"/>
      <w:szCs w:val="24"/>
      <w:lang w:val="en-US" w:eastAsia="zh-CN" w:bidi="ar-SA"/>
    </w:rPr>
  </w:style>
  <w:style w:type="paragraph" w:styleId="8">
    <w:name w:val="toc 3"/>
    <w:next w:val="1"/>
    <w:qFormat/>
    <w:uiPriority w:val="0"/>
    <w:pPr>
      <w:tabs>
        <w:tab w:val="right" w:leader="dot" w:pos="8296"/>
      </w:tabs>
      <w:ind w:left="480"/>
    </w:pPr>
    <w:rPr>
      <w:rFonts w:ascii="等线" w:hAnsi="Times New Roman" w:eastAsia="等线" w:cs="Times New Roman"/>
      <w:lang w:val="en-US" w:eastAsia="zh-CN" w:bidi="ar-SA"/>
    </w:rPr>
  </w:style>
  <w:style w:type="paragraph" w:styleId="9">
    <w:name w:val="toc 1"/>
    <w:next w:val="1"/>
    <w:qFormat/>
    <w:uiPriority w:val="0"/>
    <w:pPr>
      <w:spacing w:before="120" w:line="360" w:lineRule="auto"/>
    </w:pPr>
    <w:rPr>
      <w:rFonts w:ascii="等线" w:hAnsi="Times New Roman" w:eastAsia="等线" w:cs="Times New Roman"/>
      <w:b/>
      <w:bCs/>
      <w:i/>
      <w:iCs/>
      <w:sz w:val="28"/>
      <w:szCs w:val="24"/>
      <w:lang w:val="en-US" w:eastAsia="zh-CN" w:bidi="ar-SA"/>
    </w:rPr>
  </w:style>
  <w:style w:type="paragraph" w:styleId="10">
    <w:name w:val="toc 2"/>
    <w:next w:val="1"/>
    <w:qFormat/>
    <w:uiPriority w:val="0"/>
    <w:pPr>
      <w:spacing w:before="120" w:line="360" w:lineRule="auto"/>
      <w:ind w:left="240"/>
    </w:pPr>
    <w:rPr>
      <w:rFonts w:ascii="等线" w:hAnsi="Times New Roman" w:eastAsia="等线" w:cs="Times New Roman"/>
      <w:b/>
      <w:bCs/>
      <w:sz w:val="22"/>
      <w:szCs w:val="22"/>
      <w:lang w:val="en-US" w:eastAsia="zh-CN" w:bidi="ar-SA"/>
    </w:rPr>
  </w:style>
  <w:style w:type="paragraph" w:styleId="11">
    <w:name w:val="Body Text First Indent 2"/>
    <w:basedOn w:val="6"/>
    <w:qFormat/>
    <w:uiPriority w:val="0"/>
    <w:pPr>
      <w:spacing w:after="120" w:line="240" w:lineRule="auto"/>
      <w:ind w:left="420" w:leftChars="200" w:firstLine="420"/>
      <w:outlineLvl w:val="9"/>
    </w:pPr>
    <w:rPr>
      <w:rFonts w:ascii="Calibri" w:hAnsi="Calibri" w:eastAsia="宋体"/>
      <w:sz w:val="21"/>
    </w:rPr>
  </w:style>
  <w:style w:type="character" w:styleId="14">
    <w:name w:val="Hyperlink"/>
    <w:qFormat/>
    <w:uiPriority w:val="0"/>
    <w:rPr>
      <w:color w:val="0000FF"/>
      <w:u w:val="single"/>
    </w:rPr>
  </w:style>
  <w:style w:type="paragraph" w:customStyle="1" w:styleId="15">
    <w:name w:val="TOC 标题1"/>
    <w:next w:val="1"/>
    <w:qFormat/>
    <w:uiPriority w:val="0"/>
    <w:pPr>
      <w:keepNext/>
      <w:keepLines/>
      <w:spacing w:before="240" w:line="256" w:lineRule="auto"/>
    </w:pPr>
    <w:rPr>
      <w:rFonts w:ascii="等线 Light" w:hAnsi="等线 Light" w:eastAsia="等线 Light" w:cs="Times New Roman"/>
      <w:color w:val="2F5496"/>
      <w:sz w:val="32"/>
      <w:szCs w:val="32"/>
      <w:lang w:val="en-US" w:eastAsia="zh-CN" w:bidi="ar-SA"/>
    </w:rPr>
  </w:style>
  <w:style w:type="paragraph" w:customStyle="1" w:styleId="16">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2022-12-27T02:59:00Z</dcterms:created>
  <dc:creator>陈璐</dc:creator>
  <cp:lastModifiedBy>陈璐</cp:lastModifiedBy>
  <dcterms:modified xsi:type="dcterms:W3CDTF">2022-12-27T03:07:41Z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DFF7FBAA345944A8A23BFF6B28CC33ED</vt:lpwstr>
  </property>
</Properties>
</file>