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</w:pPr>
      <w:bookmarkStart w:id="32" w:name="_GoBack"/>
      <w:bookmarkEnd w:id="32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>Appendix 4</w:t>
      </w:r>
    </w:p>
    <w:p>
      <w:pPr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</w:pPr>
      <w:bookmarkStart w:id="0" w:name="OLE_LINK49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 xml:space="preserve">Guidelines for </w:t>
      </w:r>
      <w:bookmarkStart w:id="1" w:name="OLE_LINK1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>Claim</w:t>
      </w:r>
      <w:bookmarkEnd w:id="1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>ing the One-Off</w:t>
      </w:r>
      <w:bookmarkStart w:id="2" w:name="OLE_LINK4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 xml:space="preserve"> </w:t>
      </w:r>
      <w:bookmarkEnd w:id="2"/>
      <w:bookmarkStart w:id="3" w:name="OLE_LINK16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 xml:space="preserve">Subsidy for </w:t>
      </w:r>
      <w:bookmarkStart w:id="4" w:name="OLE_LINK48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 xml:space="preserve">Employment </w:t>
      </w:r>
      <w:bookmarkEnd w:id="4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>Expansion</w:t>
      </w:r>
      <w:bookmarkEnd w:id="0"/>
      <w:bookmarkEnd w:id="3"/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I. </w:t>
      </w:r>
      <w:bookmarkStart w:id="5" w:name="OLE_LINK6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Policy </w:t>
      </w:r>
      <w:bookmarkStart w:id="6" w:name="OLE_LINK2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rationale</w:t>
      </w:r>
      <w:bookmarkEnd w:id="5"/>
      <w:bookmarkEnd w:id="6"/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The </w:t>
      </w:r>
      <w:bookmarkStart w:id="7" w:name="OLE_LINK47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Notice of </w:t>
      </w:r>
      <w:bookmarkStart w:id="8" w:name="OLE_LINK8"/>
      <w:r>
        <w:rPr>
          <w:rFonts w:hint="default" w:ascii="Times New Roman" w:hAnsi="Times New Roman" w:eastAsia="宋体" w:cs="Times New Roman"/>
          <w:i/>
          <w:sz w:val="24"/>
          <w:lang w:val="en-GB"/>
        </w:rPr>
        <w:t>the Ministry of Human Resources and Social Security</w:t>
      </w:r>
      <w:bookmarkEnd w:id="8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, </w:t>
      </w:r>
      <w:bookmarkStart w:id="9" w:name="OLE_LINK10"/>
      <w:r>
        <w:rPr>
          <w:rFonts w:hint="default" w:ascii="Times New Roman" w:hAnsi="Times New Roman" w:eastAsia="宋体" w:cs="Times New Roman"/>
          <w:i/>
          <w:sz w:val="24"/>
          <w:lang w:val="en-GB"/>
        </w:rPr>
        <w:t>the N</w:t>
      </w:r>
      <w:bookmarkStart w:id="10" w:name="OLE_LINK9"/>
      <w:r>
        <w:rPr>
          <w:rFonts w:hint="default" w:ascii="Times New Roman" w:hAnsi="Times New Roman" w:eastAsia="宋体" w:cs="Times New Roman"/>
          <w:i/>
          <w:sz w:val="24"/>
          <w:lang w:val="en-GB"/>
        </w:rPr>
        <w:t>ational Development and Reform Commission</w:t>
      </w:r>
      <w:bookmarkEnd w:id="9"/>
      <w:bookmarkEnd w:id="10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, the Ministry of Finance, and </w:t>
      </w:r>
      <w:bookmarkStart w:id="11" w:name="OLE_LINK7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the State Taxation Administration </w:t>
      </w:r>
      <w:bookmarkEnd w:id="11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on </w:t>
      </w:r>
      <w:bookmarkStart w:id="12" w:name="OLE_LINK45"/>
      <w:r>
        <w:rPr>
          <w:rFonts w:hint="default" w:ascii="Times New Roman" w:hAnsi="Times New Roman" w:eastAsia="宋体" w:cs="Times New Roman"/>
          <w:i/>
          <w:sz w:val="24"/>
          <w:lang w:val="en-GB"/>
        </w:rPr>
        <w:t>Expanding</w:t>
      </w:r>
      <w:bookmarkEnd w:id="12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 the Scope </w:t>
      </w:r>
      <w:bookmarkStart w:id="13" w:name="OLE_LINK46"/>
      <w:r>
        <w:rPr>
          <w:rFonts w:hint="default" w:ascii="Times New Roman" w:hAnsi="Times New Roman" w:eastAsia="宋体" w:cs="Times New Roman"/>
          <w:i/>
          <w:sz w:val="24"/>
          <w:lang w:val="en-GB"/>
        </w:rPr>
        <w:t xml:space="preserve">of Implementation of </w:t>
      </w:r>
      <w:bookmarkEnd w:id="13"/>
      <w:r>
        <w:rPr>
          <w:rFonts w:hint="default" w:ascii="Times New Roman" w:hAnsi="Times New Roman" w:eastAsia="宋体" w:cs="Times New Roman"/>
          <w:i/>
          <w:sz w:val="24"/>
          <w:lang w:val="en-GB"/>
        </w:rPr>
        <w:t>the Policy of Phased Deferred Payment of Social Insurance Premiums and Other Issues (RSBF [2022] No.</w:t>
      </w:r>
      <w:r>
        <w:rPr>
          <w:rFonts w:hint="eastAsia" w:ascii="Times New Roman" w:hAnsi="Times New Roman" w:eastAsia="宋体" w:cs="Times New Roman"/>
          <w:i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lang w:val="en-GB"/>
        </w:rPr>
        <w:t>31)</w:t>
      </w:r>
      <w:bookmarkEnd w:id="7"/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II. </w:t>
      </w:r>
      <w:bookmarkStart w:id="14" w:name="OLE_LINK11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Subsidy</w:t>
      </w:r>
      <w:bookmarkEnd w:id="14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 recipients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Enterprises that recruit </w:t>
      </w:r>
      <w:bookmarkStart w:id="15" w:name="OLE_LINK12"/>
      <w:r>
        <w:rPr>
          <w:rFonts w:hint="default" w:ascii="Times New Roman" w:hAnsi="Times New Roman" w:eastAsia="宋体" w:cs="Times New Roman"/>
          <w:sz w:val="24"/>
          <w:lang w:val="en-GB"/>
        </w:rPr>
        <w:t>university graduates</w:t>
      </w:r>
      <w:bookmarkEnd w:id="15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 during the graduation year.</w:t>
      </w: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III. </w:t>
      </w:r>
      <w:bookmarkStart w:id="16" w:name="OLE_LINK13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Conditions of subsidy</w:t>
      </w:r>
      <w:bookmarkEnd w:id="16"/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1. Recruiting university graduates during the graduation year;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2. Entering into </w:t>
      </w:r>
      <w:bookmarkStart w:id="17" w:name="OLE_LINK14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employment contracts </w:t>
      </w:r>
      <w:bookmarkEnd w:id="17"/>
      <w:r>
        <w:rPr>
          <w:rFonts w:hint="default" w:ascii="Times New Roman" w:hAnsi="Times New Roman" w:eastAsia="宋体" w:cs="Times New Roman"/>
          <w:sz w:val="24"/>
          <w:lang w:val="en-GB"/>
        </w:rPr>
        <w:t>and paying unemployment insurance as required.</w:t>
      </w: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IV. </w:t>
      </w:r>
      <w:bookmarkStart w:id="18" w:name="OLE_LINK15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Subsidy standard</w:t>
      </w:r>
      <w:bookmarkEnd w:id="18"/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A one-off subsidy for </w:t>
      </w:r>
      <w:bookmarkStart w:id="19" w:name="OLE_LINK18"/>
      <w:r>
        <w:rPr>
          <w:rFonts w:hint="default" w:ascii="Times New Roman" w:hAnsi="Times New Roman" w:eastAsia="宋体" w:cs="Times New Roman"/>
          <w:sz w:val="24"/>
          <w:lang w:val="en-GB"/>
        </w:rPr>
        <w:t>employment expansion</w:t>
      </w:r>
      <w:bookmarkEnd w:id="19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 of 1,500 yuan per person will be given.</w:t>
      </w: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V. </w:t>
      </w:r>
      <w:bookmarkStart w:id="20" w:name="OLE_LINK17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Documents to be submitted by the applicant</w:t>
      </w:r>
      <w:bookmarkEnd w:id="20"/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1. The application form for the one-off</w:t>
      </w:r>
      <w:bookmarkStart w:id="21" w:name="OLE_LINK19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 subsidy for </w:t>
      </w:r>
      <w:bookmarkEnd w:id="21"/>
      <w:r>
        <w:rPr>
          <w:rFonts w:hint="default" w:ascii="Times New Roman" w:hAnsi="Times New Roman" w:eastAsia="宋体" w:cs="Times New Roman"/>
          <w:sz w:val="24"/>
          <w:lang w:val="en-GB"/>
        </w:rPr>
        <w:t>employment expansion;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2. The </w:t>
      </w:r>
      <w:bookmarkStart w:id="22" w:name="OLE_LINK35"/>
      <w:r>
        <w:rPr>
          <w:rFonts w:hint="default" w:ascii="Times New Roman" w:hAnsi="Times New Roman" w:eastAsia="宋体" w:cs="Times New Roman"/>
          <w:sz w:val="24"/>
          <w:lang w:val="en-GB"/>
        </w:rPr>
        <w:t>roster of the one-off subsidy for employment expansion</w:t>
      </w:r>
      <w:bookmarkEnd w:id="22"/>
      <w:r>
        <w:rPr>
          <w:rFonts w:hint="default" w:ascii="Times New Roman" w:hAnsi="Times New Roman" w:eastAsia="宋体" w:cs="Times New Roman"/>
          <w:sz w:val="24"/>
          <w:lang w:val="en-GB"/>
        </w:rPr>
        <w:t>.</w:t>
      </w: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VI. Information to be verified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1. Business licenses and other registration documents;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2. Unemployment insurance payment information;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3. Graduation certificates of employed university graduate(s);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4. Labour contracts;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5. Whether one has received a one-off subsidy</w:t>
      </w:r>
      <w:bookmarkStart w:id="23" w:name="OLE_LINK24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 for </w:t>
      </w:r>
      <w:bookmarkEnd w:id="23"/>
      <w:r>
        <w:rPr>
          <w:rFonts w:hint="default" w:ascii="Times New Roman" w:hAnsi="Times New Roman" w:eastAsia="宋体" w:cs="Times New Roman"/>
          <w:sz w:val="24"/>
          <w:lang w:val="en-GB"/>
        </w:rPr>
        <w:t>employment absorption; and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6. Whether the university graduate(s) is/are also entitled to a one-off subsidy for employment expansion in other regions.</w:t>
      </w: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 xml:space="preserve">VII. </w:t>
      </w:r>
      <w:bookmarkStart w:id="24" w:name="OLE_LINK21"/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Application procedure</w:t>
      </w:r>
      <w:bookmarkEnd w:id="24"/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The employer submits an application to the </w:t>
      </w:r>
      <w:bookmarkStart w:id="25" w:name="OLE_LINK22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public employment service agency </w:t>
      </w:r>
      <w:bookmarkEnd w:id="25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where it is registered; The said agency is responsible for collecting the application materials and examining them before the </w:t>
      </w:r>
      <w:bookmarkStart w:id="26" w:name="OLE_LINK23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social security agency </w:t>
      </w:r>
      <w:bookmarkEnd w:id="26"/>
      <w:r>
        <w:rPr>
          <w:rFonts w:hint="default" w:ascii="Times New Roman" w:hAnsi="Times New Roman" w:eastAsia="宋体" w:cs="Times New Roman"/>
          <w:sz w:val="24"/>
          <w:lang w:val="en-GB"/>
        </w:rPr>
        <w:t>issues the subsidy. (Handling duration: within 30 working days.)</w:t>
      </w:r>
    </w:p>
    <w:p>
      <w:pPr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GB"/>
        </w:rPr>
        <w:t>VIII. Other matters</w:t>
      </w:r>
    </w:p>
    <w:p>
      <w:pPr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 xml:space="preserve">The two policies, the one-off subsidy for </w:t>
      </w:r>
      <w:bookmarkStart w:id="27" w:name="OLE_LINK26"/>
      <w:r>
        <w:rPr>
          <w:rFonts w:hint="default" w:ascii="Times New Roman" w:hAnsi="Times New Roman" w:eastAsia="宋体" w:cs="Times New Roman"/>
          <w:sz w:val="24"/>
          <w:lang w:val="en-GB"/>
        </w:rPr>
        <w:t>employment expansion</w:t>
      </w:r>
      <w:bookmarkEnd w:id="27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 and the one-off subsidy for </w:t>
      </w:r>
      <w:bookmarkStart w:id="28" w:name="OLE_LINK34"/>
      <w:r>
        <w:rPr>
          <w:rFonts w:hint="default" w:ascii="Times New Roman" w:hAnsi="Times New Roman" w:eastAsia="宋体" w:cs="Times New Roman"/>
          <w:sz w:val="24"/>
          <w:lang w:val="en-GB"/>
        </w:rPr>
        <w:t>employment absorption</w:t>
      </w:r>
      <w:bookmarkEnd w:id="28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, are mutually exclusive for entitlement. In the case of overpayment or mis-payment, it is the responsibility of the employer to cooperate </w:t>
      </w:r>
      <w:bookmarkStart w:id="29" w:name="OLE_LINK27"/>
      <w:r>
        <w:rPr>
          <w:rFonts w:hint="default" w:ascii="Times New Roman" w:hAnsi="Times New Roman" w:eastAsia="宋体" w:cs="Times New Roman"/>
          <w:sz w:val="24"/>
          <w:lang w:val="en-GB"/>
        </w:rPr>
        <w:t xml:space="preserve">in recovering </w:t>
      </w:r>
      <w:bookmarkEnd w:id="29"/>
      <w:r>
        <w:rPr>
          <w:rFonts w:hint="default" w:ascii="Times New Roman" w:hAnsi="Times New Roman" w:eastAsia="宋体" w:cs="Times New Roman"/>
          <w:sz w:val="24"/>
          <w:lang w:val="en-GB"/>
        </w:rPr>
        <w:t>the relevant payment.</w:t>
      </w:r>
    </w:p>
    <w:p>
      <w:pPr>
        <w:rPr>
          <w:rFonts w:hint="default" w:ascii="Times New Roman" w:hAnsi="Times New Roman" w:eastAsia="宋体" w:cs="Times New Roman"/>
          <w:b/>
          <w:sz w:val="24"/>
          <w:lang w:val="en-GB"/>
        </w:rPr>
      </w:pPr>
      <w:r>
        <w:rPr>
          <w:rFonts w:hint="default" w:ascii="Times New Roman" w:hAnsi="Times New Roman" w:eastAsia="宋体" w:cs="Times New Roman"/>
          <w:b/>
          <w:sz w:val="24"/>
          <w:lang w:val="en-GB"/>
        </w:rPr>
        <w:br w:type="page"/>
      </w:r>
    </w:p>
    <w:tbl>
      <w:tblPr>
        <w:tblStyle w:val="5"/>
        <w:tblW w:w="8934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</w:tblPr>
      <w:tblGrid>
        <w:gridCol w:w="1426"/>
        <w:gridCol w:w="1632"/>
        <w:gridCol w:w="1273"/>
        <w:gridCol w:w="1049"/>
        <w:gridCol w:w="1328"/>
        <w:gridCol w:w="866"/>
        <w:gridCol w:w="1360"/>
      </w:tblGrid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8934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val="en-GB"/>
              </w:rPr>
              <w:t xml:space="preserve">Application Form for One-off Subsidy for Employment Expansion (For </w:t>
            </w:r>
            <w:bookmarkStart w:id="30" w:name="OLE_LINK28"/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val="en-GB"/>
              </w:rPr>
              <w:t>University Graduates During the Year of Graduation</w:t>
            </w:r>
            <w:bookmarkEnd w:id="30"/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val="en-GB"/>
              </w:rPr>
              <w:t>)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4331" w:type="dxa"/>
            <w:gridSpan w:val="3"/>
            <w:vAlign w:val="center"/>
          </w:tcPr>
          <w:p>
            <w:pPr>
              <w:rPr>
                <w:rFonts w:hint="default" w:ascii="宋体" w:hAnsi="宋体"/>
                <w:b/>
                <w:bCs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Application No.:</w:t>
            </w:r>
          </w:p>
        </w:tc>
        <w:tc>
          <w:tcPr>
            <w:tcW w:w="4603" w:type="dxa"/>
            <w:gridSpan w:val="4"/>
            <w:vAlign w:val="center"/>
          </w:tcPr>
          <w:p>
            <w:pPr>
              <w:rPr>
                <w:rFonts w:hint="default" w:ascii="宋体" w:hAnsi="宋体"/>
                <w:b/>
                <w:bCs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Application date: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Applicant</w:t>
            </w:r>
          </w:p>
        </w:tc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22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Address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Contact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Tel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Unified social credit code</w:t>
            </w:r>
          </w:p>
        </w:tc>
        <w:tc>
          <w:tcPr>
            <w:tcW w:w="5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Account name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Bank of deposit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A/C No.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Number of applicants for subsidy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  <w:lang w:val="en-GB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Amount of subsidy requested (yuan)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Whether one has received a one-off </w:t>
            </w:r>
            <w:bookmarkStart w:id="31" w:name="OLE_LINK33"/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employment absorption subsidy</w:t>
            </w:r>
            <w:bookmarkEnd w:id="31"/>
          </w:p>
        </w:tc>
        <w:tc>
          <w:tcPr>
            <w:tcW w:w="5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□Yes           □No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2603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Applicant commitment</w:t>
            </w:r>
          </w:p>
        </w:tc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The company commits that the contents filled in and all information provided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are</w:t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 authentic and correct, and is willing to bear all liabilities if they are false.</w:t>
            </w:r>
          </w:p>
          <w:p>
            <w:pPr>
              <w:pStyle w:val="2"/>
              <w:rPr>
                <w:rFonts w:hint="default"/>
                <w:lang w:val="en-GB"/>
              </w:rPr>
            </w:pPr>
          </w:p>
          <w:p>
            <w:pPr>
              <w:ind w:left="4000" w:leftChars="2000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Signature:</w:t>
            </w:r>
          </w:p>
          <w:p>
            <w:pPr>
              <w:ind w:firstLine="480" w:firstLineChars="200"/>
              <w:jc w:val="right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(Company seal)</w:t>
            </w:r>
          </w:p>
          <w:p>
            <w:pPr>
              <w:ind w:firstLine="480" w:firstLineChars="200"/>
              <w:jc w:val="right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Date: mm/dd/yy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2378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Opinion of the local public employment service agency</w:t>
            </w:r>
          </w:p>
        </w:tc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Upon review, the application documents submitted are complete, and</w:t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      persons satisfy the conditions for claiming the subsidy. The subsidy to be issued is             yuan.</w:t>
            </w:r>
          </w:p>
          <w:p>
            <w:pPr>
              <w:pStyle w:val="2"/>
              <w:rPr>
                <w:rFonts w:hint="default"/>
                <w:lang w:val="en-GB"/>
              </w:rPr>
            </w:pPr>
          </w:p>
          <w:p>
            <w:pPr>
              <w:ind w:left="4000" w:leftChars="2000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Signature:</w:t>
            </w:r>
          </w:p>
          <w:p>
            <w:pPr>
              <w:ind w:firstLine="480" w:firstLineChars="200"/>
              <w:jc w:val="right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(Company seal)</w:t>
            </w:r>
          </w:p>
          <w:p>
            <w:pPr>
              <w:ind w:firstLine="480" w:firstLineChars="200"/>
              <w:jc w:val="right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Date: mm/dd/yy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2381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Opinion of the social security agency </w:t>
            </w:r>
          </w:p>
        </w:tc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Upon the review, a one-off subsidy for employment expansion (for university graduates during the year of graduation) of      yuan is issued.</w:t>
            </w:r>
          </w:p>
          <w:p>
            <w:pPr>
              <w:pStyle w:val="2"/>
              <w:rPr>
                <w:rFonts w:hint="default"/>
                <w:lang w:val="en-GB"/>
              </w:rPr>
            </w:pPr>
          </w:p>
          <w:p>
            <w:pPr>
              <w:ind w:left="4000" w:leftChars="2000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Signature:</w:t>
            </w:r>
          </w:p>
          <w:p>
            <w:pPr>
              <w:ind w:firstLine="480" w:firstLineChars="200"/>
              <w:jc w:val="right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(Company seal)</w:t>
            </w:r>
          </w:p>
          <w:p>
            <w:pPr>
              <w:ind w:firstLine="480" w:firstLineChars="200"/>
              <w:jc w:val="right"/>
              <w:rPr>
                <w:rFonts w:hint="default" w:ascii="宋体" w:hAnsi="宋体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Date: mm/dd/yy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sz w:val="24"/>
          <w:lang w:val="en-GB"/>
        </w:rPr>
        <w:sectPr>
          <w:pgSz w:w="11906" w:h="16838"/>
          <w:pgMar w:top="1440" w:right="1803" w:bottom="1440" w:left="1803" w:header="708" w:footer="709" w:gutter="0"/>
          <w:cols w:space="0" w:num="1"/>
          <w:docGrid w:type="lines" w:linePitch="360" w:charSpace="0"/>
        </w:sectPr>
      </w:pPr>
    </w:p>
    <w:p>
      <w:pPr>
        <w:widowControl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>Recipient Roster of One-off Subsidy for Employment Expansion</w:t>
      </w:r>
    </w:p>
    <w:p>
      <w:pPr>
        <w:rPr>
          <w:rFonts w:hint="default"/>
          <w:lang w:val="en-GB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Employer’s name (seal):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2"/>
        <w:gridCol w:w="1175"/>
        <w:gridCol w:w="1125"/>
        <w:gridCol w:w="1353"/>
        <w:gridCol w:w="1390"/>
        <w:gridCol w:w="1181"/>
        <w:gridCol w:w="1417"/>
        <w:gridCol w:w="945"/>
        <w:gridCol w:w="1389"/>
        <w:gridCol w:w="1350"/>
        <w:gridCol w:w="1033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Serial No.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Name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Gender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ID No.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Whether one has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household registration in this city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Whether one is a resident of Hong Kong, Macao or Taiwan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Whether one pays unemployment insurance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Graduation time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Graduation university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Graduation certificate No.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Start and end dates of labour contract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Amount of subsidy (yuan)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7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2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9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81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417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4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89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03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54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7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2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9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81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417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4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89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03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54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2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7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2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9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81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417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4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89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03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54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7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2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9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81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417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4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89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03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54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Total</w:t>
            </w:r>
          </w:p>
        </w:tc>
        <w:tc>
          <w:tcPr>
            <w:tcW w:w="117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2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9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181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417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45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89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033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954" w:type="dxa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Note: Residents of Hong Kong, Macao or Taiwan shall fill in their travel permit or residence permit numbers in the blank of ID No.</w:t>
      </w:r>
    </w:p>
    <w:p>
      <w:pPr>
        <w:pStyle w:val="2"/>
        <w:spacing w:after="0"/>
        <w:rPr>
          <w:rFonts w:hint="default"/>
          <w:lang w:val="en-GB"/>
        </w:rPr>
      </w:pPr>
      <w:r>
        <w:rPr>
          <w:rFonts w:hint="default"/>
          <w:lang w:val="en-GB"/>
        </w:rPr>
        <w:br w:type="page"/>
      </w:r>
    </w:p>
    <w:p>
      <w:pPr>
        <w:widowControl w:val="0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GB"/>
        </w:rPr>
        <w:t>One-Off Subsidy for Employment Expansion Summary Table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GB"/>
        </w:rPr>
      </w:pPr>
      <w:r>
        <w:rPr>
          <w:rFonts w:hint="default" w:ascii="Times New Roman" w:hAnsi="Times New Roman" w:eastAsia="宋体" w:cs="Times New Roman"/>
          <w:sz w:val="24"/>
          <w:lang w:val="en-GB"/>
        </w:rPr>
        <w:t>Unit:</w:t>
      </w:r>
      <w:r>
        <w:rPr>
          <w:rFonts w:hint="default" w:eastAsia="宋体" w:cs="Times New Roman"/>
          <w:sz w:val="24"/>
          <w:lang w:val="en-GB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GB"/>
        </w:rPr>
        <w:t>yuan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970"/>
        <w:gridCol w:w="1530"/>
        <w:gridCol w:w="1520"/>
        <w:gridCol w:w="1908"/>
        <w:gridCol w:w="2617"/>
        <w:gridCol w:w="3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Serial No.</w:t>
            </w:r>
          </w:p>
        </w:tc>
        <w:tc>
          <w:tcPr>
            <w:tcW w:w="1970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Company name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Number of subsidized persons</w:t>
            </w:r>
          </w:p>
        </w:tc>
        <w:tc>
          <w:tcPr>
            <w:tcW w:w="1520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Amount of subsidy</w:t>
            </w:r>
          </w:p>
        </w:tc>
        <w:tc>
          <w:tcPr>
            <w:tcW w:w="1908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Account name</w:t>
            </w:r>
          </w:p>
        </w:tc>
        <w:tc>
          <w:tcPr>
            <w:tcW w:w="2617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Bank of deposit</w:t>
            </w:r>
          </w:p>
        </w:tc>
        <w:tc>
          <w:tcPr>
            <w:tcW w:w="3662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A/C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366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366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366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  <w:tc>
          <w:tcPr>
            <w:tcW w:w="366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895" w:type="dxa"/>
            <w:gridSpan w:val="5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Opinion of the local public employment service agency: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Upon review, the above companies are eligible for the subsidy, and the amount of subsidy is       yuan (in capital).</w:t>
            </w:r>
          </w:p>
          <w:p>
            <w:pPr>
              <w:pStyle w:val="2"/>
              <w:spacing w:after="0"/>
              <w:jc w:val="both"/>
              <w:rPr>
                <w:rFonts w:hint="default"/>
                <w:lang w:val="en-GB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Handler:                                                        Reviewer:</w:t>
            </w:r>
          </w:p>
          <w:p>
            <w:pPr>
              <w:widowControl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Date: mm/dd/yy   (seal)</w:t>
            </w:r>
          </w:p>
        </w:tc>
        <w:tc>
          <w:tcPr>
            <w:tcW w:w="6279" w:type="dxa"/>
            <w:gridSpan w:val="2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Opinion of the social security agency 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Upon the review, a one-off subsidy for employment expansion (for university graduates during the year of graduation) of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yuan is issued.</w:t>
            </w:r>
          </w:p>
          <w:p>
            <w:pPr>
              <w:pStyle w:val="2"/>
              <w:spacing w:after="0"/>
              <w:jc w:val="both"/>
              <w:rPr>
                <w:rFonts w:hint="default"/>
                <w:lang w:val="en-GB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Reviewer:                                           Approver:</w:t>
            </w:r>
          </w:p>
          <w:p>
            <w:pPr>
              <w:widowControl w:val="0"/>
              <w:ind w:firstLine="3120" w:firstLineChars="13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GB"/>
              </w:rPr>
              <w:t>Date: mm/dd/yy   (seal)</w:t>
            </w:r>
          </w:p>
        </w:tc>
      </w:tr>
    </w:tbl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sectPr>
      <w:pgSz w:w="16838" w:h="11906" w:orient="landscape"/>
      <w:pgMar w:top="1803" w:right="1440" w:bottom="1803" w:left="1440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08"/>
  <w:hyphenationZone w:val="425"/>
  <w:drawingGridHorizontalSpacing w:val="200"/>
  <w:displayVerticalDrawingGridEvery w:val="2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WI0OTZjMWFhZDhlNjdiNGI1N2U5MzRkNGU5ZDgifQ=="/>
  </w:docVars>
  <w:rsids>
    <w:rsidRoot w:val="00172A27"/>
    <w:rsid w:val="000500C6"/>
    <w:rsid w:val="000737EF"/>
    <w:rsid w:val="00172A27"/>
    <w:rsid w:val="00226587"/>
    <w:rsid w:val="002A588C"/>
    <w:rsid w:val="00344287"/>
    <w:rsid w:val="009456E1"/>
    <w:rsid w:val="00E462C8"/>
    <w:rsid w:val="080608C5"/>
    <w:rsid w:val="0C681D44"/>
    <w:rsid w:val="10650C4A"/>
    <w:rsid w:val="15344C6A"/>
    <w:rsid w:val="1C1B5646"/>
    <w:rsid w:val="25AE027E"/>
    <w:rsid w:val="27387112"/>
    <w:rsid w:val="2D1C121E"/>
    <w:rsid w:val="3BA373E1"/>
    <w:rsid w:val="4A783AE0"/>
    <w:rsid w:val="517A3D03"/>
    <w:rsid w:val="5EA13198"/>
    <w:rsid w:val="620F5E98"/>
    <w:rsid w:val="65EC7ECD"/>
    <w:rsid w:val="6600182C"/>
    <w:rsid w:val="712E574D"/>
    <w:rsid w:val="717778BB"/>
    <w:rsid w:val="7B922396"/>
    <w:rsid w:val="7C3A0345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1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qFormat="1" w:uiPriority="99" w:name="Table Web 2"/>
    <w:lsdException w:qFormat="1" w:uiPriority="99" w:name="Table Web 3"/>
    <w:lsdException w:uiPriority="99" w:name="Balloon Text"/>
    <w:lsdException w:qFormat="1" w:uiPriority="59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rPr>
      <w:rFonts w:hint="eastAsia" w:ascii="Tahoma" w:hAnsi="Tahoma" w:eastAsia="等线" w:cs="Tahoma"/>
      <w:color w:val="00000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</w:pPr>
    <w:rPr>
      <w:rFonts w:ascii="Times New Roman" w:hAnsi="Times New Roman" w:eastAsia="Times New Roman" w:cs="Times New Roman"/>
      <w:sz w:val="21"/>
      <w:szCs w:val="20"/>
      <w:lang w:val="zh-TW" w:eastAsia="zh-TW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unhideWhenUsed/>
    <w:qFormat/>
    <w:uiPriority w:val="20"/>
    <w:rPr>
      <w:rFonts w:hint="default" w:cs="Times New Roman"/>
      <w:i/>
      <w:sz w:val="24"/>
      <w:szCs w:val="24"/>
    </w:rPr>
  </w:style>
  <w:style w:type="paragraph" w:customStyle="1" w:styleId="9">
    <w:name w:val="修订1"/>
    <w:hidden/>
    <w:unhideWhenUsed/>
    <w:qFormat/>
    <w:uiPriority w:val="99"/>
    <w:rPr>
      <w:rFonts w:hint="eastAsia" w:ascii="Tahoma" w:hAnsi="Tahoma" w:eastAsia="等线" w:cs="Tahoma"/>
      <w:color w:val="000000"/>
      <w:szCs w:val="24"/>
      <w:lang w:val="en-US" w:eastAsia="zh-CN" w:bidi="ar-SA"/>
    </w:rPr>
  </w:style>
  <w:style w:type="character" w:customStyle="1" w:styleId="10">
    <w:name w:val="mqInternal"/>
    <w:unhideWhenUsed/>
    <w:qFormat/>
    <w:uiPriority w:val="99"/>
    <w:rPr>
      <w:rFonts w:hint="default"/>
      <w:color w:val="800000"/>
      <w:sz w:val="20"/>
      <w:szCs w:val="24"/>
    </w:rPr>
  </w:style>
  <w:style w:type="character" w:customStyle="1" w:styleId="11">
    <w:name w:val="页眉 字符"/>
    <w:basedOn w:val="7"/>
    <w:link w:val="4"/>
    <w:unhideWhenUsed/>
    <w:qFormat/>
    <w:locked/>
    <w:uiPriority w:val="99"/>
    <w:rPr>
      <w:rFonts w:hint="eastAsia" w:ascii="Tahoma" w:hAnsi="Tahoma" w:eastAsia="等线" w:cs="Tahoma"/>
      <w:color w:val="000000"/>
      <w:sz w:val="18"/>
      <w:szCs w:val="18"/>
    </w:rPr>
  </w:style>
  <w:style w:type="character" w:customStyle="1" w:styleId="12">
    <w:name w:val="页脚 字符"/>
    <w:basedOn w:val="7"/>
    <w:link w:val="3"/>
    <w:unhideWhenUsed/>
    <w:qFormat/>
    <w:locked/>
    <w:uiPriority w:val="99"/>
    <w:rPr>
      <w:rFonts w:hint="eastAsia" w:ascii="Tahoma" w:hAnsi="Tahoma" w:eastAsia="等线" w:cs="Tahoma"/>
      <w:color w:val="000000"/>
      <w:sz w:val="18"/>
      <w:szCs w:val="18"/>
    </w:rPr>
  </w:style>
  <w:style w:type="paragraph" w:customStyle="1" w:styleId="13">
    <w:name w:val="Revision"/>
    <w:hidden/>
    <w:semiHidden/>
    <w:uiPriority w:val="99"/>
    <w:rPr>
      <w:rFonts w:hint="eastAsia" w:ascii="Tahoma" w:hAnsi="Tahoma" w:eastAsia="等线" w:cs="Tahoma"/>
      <w:color w:val="00000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650</Words>
  <Characters>3707</Characters>
  <Lines>32</Lines>
  <Paragraphs>9</Paragraphs>
  <TotalTime>107</TotalTime>
  <ScaleCrop>false</ScaleCrop>
  <LinksUpToDate>false</LinksUpToDate>
  <CharactersWithSpaces>4400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2022-12-20T02:00:00Z</dcterms:created>
  <dc:creator>Administrator</dc:creator>
  <cp:lastModifiedBy>尹萌萌</cp:lastModifiedBy>
  <dcterms:modified xsi:type="dcterms:W3CDTF">2023-01-10T09:12:04Z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694571CFE89247739E392D73764B20E6</vt:lpwstr>
  </property>
</Properties>
</file>