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
          <w:color w:val="000000" w:themeColor="text1"/>
          <w14:textFill>
            <w14:solidFill>
              <w14:schemeClr w14:val="tx1"/>
            </w14:solidFill>
          </w14:textFill>
        </w:rPr>
      </w:pPr>
      <w:bookmarkStart w:id="8" w:name="_GoBack"/>
      <w:bookmarkEnd w:id="8"/>
      <w:r>
        <w:rPr>
          <w:b/>
          <w:lang w:val="en-GB"/>
        </w:rPr>
        <w:t>Appendix</w:t>
      </w:r>
    </w:p>
    <w:p>
      <w:pPr>
        <w:adjustRightInd w:val="0"/>
        <w:snapToGrid w:val="0"/>
        <w:rPr>
          <w:b/>
          <w:color w:val="000000" w:themeColor="text1"/>
          <w14:textFill>
            <w14:solidFill>
              <w14:schemeClr w14:val="tx1"/>
            </w14:solidFill>
          </w14:textFill>
        </w:rPr>
      </w:pPr>
    </w:p>
    <w:p>
      <w:pPr>
        <w:adjustRightInd w:val="0"/>
        <w:snapToGrid w:val="0"/>
        <w:jc w:val="center"/>
        <w:rPr>
          <w:rFonts w:eastAsia="方正小标宋简体"/>
          <w:b/>
          <w:bCs/>
          <w:color w:val="000000" w:themeColor="text1"/>
          <w14:textFill>
            <w14:solidFill>
              <w14:schemeClr w14:val="tx1"/>
            </w14:solidFill>
          </w14:textFill>
        </w:rPr>
      </w:pPr>
      <w:r>
        <w:rPr>
          <w:b/>
          <w:lang w:val="en-GB"/>
        </w:rPr>
        <w:t xml:space="preserve">Guidelines for the Issuance of </w:t>
      </w:r>
      <w:r>
        <w:rPr>
          <w:rFonts w:hint="eastAsia"/>
          <w:b/>
          <w:lang w:val="en-US" w:eastAsia="zh-CN"/>
        </w:rPr>
        <w:t xml:space="preserve">the </w:t>
      </w:r>
      <w:r>
        <w:rPr>
          <w:b/>
          <w:lang w:val="en-GB"/>
        </w:rPr>
        <w:t xml:space="preserve">One-Off </w:t>
      </w:r>
      <w:r>
        <w:rPr>
          <w:rFonts w:hint="eastAsia"/>
          <w:b/>
          <w:lang w:val="en-GB"/>
        </w:rPr>
        <w:t xml:space="preserve">Vocational </w:t>
      </w:r>
      <w:r>
        <w:rPr>
          <w:b/>
          <w:lang w:val="en-GB"/>
        </w:rPr>
        <w:t>Training Subsidy</w:t>
      </w:r>
    </w:p>
    <w:p>
      <w:pPr>
        <w:ind w:firstLine="482" w:firstLineChars="200"/>
        <w:rPr>
          <w:b/>
          <w:bCs/>
          <w:color w:val="000000" w:themeColor="text1"/>
          <w:kern w:val="0"/>
          <w:sz w:val="24"/>
          <w:szCs w:val="24"/>
          <w14:textFill>
            <w14:solidFill>
              <w14:schemeClr w14:val="tx1"/>
            </w14:solidFill>
          </w14:textFill>
        </w:rPr>
      </w:pPr>
    </w:p>
    <w:p>
      <w:pPr>
        <w:ind w:firstLine="480" w:firstLineChars="200"/>
        <w:rPr>
          <w:sz w:val="24"/>
          <w:szCs w:val="24"/>
          <w:lang w:val="en-GB"/>
        </w:rPr>
      </w:pPr>
      <w:r>
        <w:rPr>
          <w:sz w:val="24"/>
          <w:szCs w:val="24"/>
          <w:lang w:val="en-GB"/>
        </w:rPr>
        <w:t xml:space="preserve">In accordance with the authorisation of </w:t>
      </w:r>
      <w:r>
        <w:rPr>
          <w:i/>
          <w:sz w:val="24"/>
          <w:szCs w:val="24"/>
          <w:lang w:val="en-GB"/>
        </w:rPr>
        <w:t xml:space="preserve">the Notice of the Ministry of Human Resources and Social Security, the Ministry of Finance and the State Taxation Administration on Utilizing the Unemployment Insurance to Stabilise Jobs, </w:t>
      </w:r>
      <w:r>
        <w:rPr>
          <w:rFonts w:hint="eastAsia"/>
          <w:i/>
          <w:sz w:val="24"/>
          <w:szCs w:val="24"/>
          <w:lang w:val="en-GB"/>
        </w:rPr>
        <w:t>Improve</w:t>
      </w:r>
      <w:r>
        <w:rPr>
          <w:i/>
          <w:sz w:val="24"/>
          <w:szCs w:val="24"/>
          <w:lang w:val="en-GB"/>
        </w:rPr>
        <w:t xml:space="preserve"> </w:t>
      </w:r>
      <w:r>
        <w:rPr>
          <w:rFonts w:hint="eastAsia"/>
          <w:i/>
          <w:sz w:val="24"/>
          <w:szCs w:val="24"/>
          <w:lang w:val="en-GB"/>
        </w:rPr>
        <w:t xml:space="preserve">Vocational </w:t>
      </w:r>
      <w:r>
        <w:rPr>
          <w:i/>
          <w:sz w:val="24"/>
          <w:szCs w:val="24"/>
          <w:lang w:val="en-GB"/>
        </w:rPr>
        <w:t>Skills and Prevent Unemployment (RSBF [2022] No. 23)</w:t>
      </w:r>
      <w:r>
        <w:rPr>
          <w:sz w:val="24"/>
          <w:szCs w:val="24"/>
          <w:lang w:val="en-GB"/>
        </w:rPr>
        <w:t>, and in light of the actual situation</w:t>
      </w:r>
      <w:r>
        <w:rPr>
          <w:rFonts w:hint="eastAsia"/>
          <w:sz w:val="24"/>
          <w:szCs w:val="24"/>
          <w:lang w:val="en-US" w:eastAsia="zh-CN"/>
        </w:rPr>
        <w:t>s</w:t>
      </w:r>
      <w:r>
        <w:rPr>
          <w:sz w:val="24"/>
          <w:szCs w:val="24"/>
          <w:lang w:val="en-GB"/>
        </w:rPr>
        <w:t xml:space="preserve"> in </w:t>
      </w:r>
      <w:r>
        <w:rPr>
          <w:rFonts w:hint="eastAsia"/>
          <w:sz w:val="24"/>
          <w:szCs w:val="24"/>
          <w:lang w:val="en-GB"/>
        </w:rPr>
        <w:t>Guangdong Province</w:t>
      </w:r>
      <w:r>
        <w:rPr>
          <w:sz w:val="24"/>
          <w:szCs w:val="24"/>
          <w:lang w:val="en-GB"/>
        </w:rPr>
        <w:t xml:space="preserve">, the guidelines for the issuance of a one-off </w:t>
      </w:r>
      <w:r>
        <w:rPr>
          <w:rFonts w:hint="eastAsia"/>
          <w:sz w:val="24"/>
          <w:szCs w:val="24"/>
          <w:lang w:val="en-GB"/>
        </w:rPr>
        <w:t xml:space="preserve">vocational </w:t>
      </w:r>
      <w:r>
        <w:rPr>
          <w:sz w:val="24"/>
          <w:szCs w:val="24"/>
          <w:lang w:val="en-GB"/>
        </w:rPr>
        <w:t>training subsidy are hereby released as follows.</w:t>
      </w:r>
    </w:p>
    <w:p>
      <w:pPr>
        <w:ind w:firstLine="482" w:firstLineChars="200"/>
        <w:rPr>
          <w:rFonts w:eastAsia="黑体"/>
          <w:b/>
          <w:color w:val="000000" w:themeColor="text1"/>
          <w:kern w:val="0"/>
          <w:sz w:val="24"/>
          <w:szCs w:val="24"/>
          <w:lang w:val="en-GB"/>
          <w14:textFill>
            <w14:solidFill>
              <w14:schemeClr w14:val="tx1"/>
            </w14:solidFill>
          </w14:textFill>
        </w:rPr>
      </w:pPr>
      <w:r>
        <w:rPr>
          <w:b/>
          <w:sz w:val="24"/>
          <w:szCs w:val="24"/>
          <w:lang w:val="en-GB"/>
        </w:rPr>
        <w:t xml:space="preserve">I. Conditions for </w:t>
      </w:r>
      <w:r>
        <w:rPr>
          <w:rFonts w:hint="eastAsia"/>
          <w:b/>
          <w:sz w:val="24"/>
          <w:szCs w:val="24"/>
          <w:lang w:val="en-GB"/>
        </w:rPr>
        <w:t>grants</w:t>
      </w:r>
    </w:p>
    <w:p>
      <w:pPr>
        <w:ind w:firstLine="480" w:firstLineChars="200"/>
        <w:rPr>
          <w:color w:val="000000" w:themeColor="text1"/>
          <w:kern w:val="0"/>
          <w:sz w:val="24"/>
          <w:szCs w:val="24"/>
          <w:lang w:val="en-GB"/>
          <w14:textFill>
            <w14:solidFill>
              <w14:schemeClr w14:val="tx1"/>
            </w14:solidFill>
          </w14:textFill>
        </w:rPr>
      </w:pPr>
      <w:r>
        <w:rPr>
          <w:sz w:val="24"/>
          <w:szCs w:val="24"/>
          <w:lang w:val="en-GB"/>
        </w:rPr>
        <w:t xml:space="preserve">From January 1 to December 31, 2022, </w:t>
      </w:r>
      <w:r>
        <w:rPr>
          <w:rFonts w:hint="eastAsia"/>
          <w:sz w:val="24"/>
          <w:szCs w:val="24"/>
          <w:lang w:val="en-GB"/>
        </w:rPr>
        <w:t>cities</w:t>
      </w:r>
      <w:r>
        <w:rPr>
          <w:sz w:val="24"/>
          <w:szCs w:val="24"/>
          <w:lang w:val="en-GB"/>
        </w:rPr>
        <w:t xml:space="preserve"> at or above </w:t>
      </w:r>
      <w:r>
        <w:rPr>
          <w:rFonts w:hint="eastAsia"/>
          <w:sz w:val="24"/>
          <w:szCs w:val="24"/>
          <w:lang w:val="en-US" w:eastAsia="zh-CN"/>
        </w:rPr>
        <w:t xml:space="preserve">the </w:t>
      </w:r>
      <w:r>
        <w:rPr>
          <w:sz w:val="24"/>
          <w:szCs w:val="24"/>
          <w:lang w:val="en-GB"/>
        </w:rPr>
        <w:t>prefectur</w:t>
      </w:r>
      <w:r>
        <w:rPr>
          <w:rFonts w:hint="eastAsia"/>
          <w:sz w:val="24"/>
          <w:szCs w:val="24"/>
          <w:lang w:val="en-GB"/>
        </w:rPr>
        <w:t>al</w:t>
      </w:r>
      <w:r>
        <w:rPr>
          <w:sz w:val="24"/>
          <w:szCs w:val="24"/>
          <w:lang w:val="en-GB"/>
        </w:rPr>
        <w:t xml:space="preserve"> level with </w:t>
      </w:r>
      <w:r>
        <w:rPr>
          <w:rFonts w:hint="eastAsia"/>
          <w:sz w:val="24"/>
          <w:szCs w:val="24"/>
          <w:lang w:val="en-GB"/>
        </w:rPr>
        <w:t xml:space="preserve">one </w:t>
      </w:r>
      <w:r>
        <w:rPr>
          <w:sz w:val="24"/>
          <w:szCs w:val="24"/>
          <w:lang w:val="en-GB"/>
        </w:rPr>
        <w:t xml:space="preserve">medium- or high-risk area </w:t>
      </w:r>
      <w:r>
        <w:rPr>
          <w:rFonts w:hint="eastAsia"/>
          <w:sz w:val="24"/>
          <w:szCs w:val="24"/>
          <w:lang w:val="en-GB"/>
        </w:rPr>
        <w:t>for COVID-19 or more</w:t>
      </w:r>
      <w:r>
        <w:rPr>
          <w:sz w:val="24"/>
          <w:szCs w:val="24"/>
          <w:lang w:val="en-GB"/>
        </w:rPr>
        <w:t xml:space="preserve"> may issue a one-off </w:t>
      </w:r>
      <w:r>
        <w:rPr>
          <w:rFonts w:hint="eastAsia"/>
          <w:sz w:val="24"/>
          <w:szCs w:val="24"/>
          <w:lang w:val="en-GB"/>
        </w:rPr>
        <w:t xml:space="preserve">vocational </w:t>
      </w:r>
      <w:r>
        <w:rPr>
          <w:sz w:val="24"/>
          <w:szCs w:val="24"/>
          <w:lang w:val="en-GB"/>
        </w:rPr>
        <w:t>training subsidy to micro-, small</w:t>
      </w:r>
      <w:r>
        <w:rPr>
          <w:rFonts w:hint="eastAsia"/>
          <w:sz w:val="24"/>
          <w:szCs w:val="24"/>
          <w:lang w:val="en-GB"/>
        </w:rPr>
        <w:t>-</w:t>
      </w:r>
      <w:r>
        <w:rPr>
          <w:sz w:val="24"/>
          <w:szCs w:val="24"/>
          <w:lang w:val="en-GB"/>
        </w:rPr>
        <w:t xml:space="preserve"> and medium-sized enterprises (MSMEs) that are temporarily unable to operate normally due to the severe impact of the COVID-19</w:t>
      </w:r>
      <w:r>
        <w:rPr>
          <w:rFonts w:hint="eastAsia"/>
          <w:sz w:val="24"/>
          <w:szCs w:val="24"/>
          <w:lang w:val="en-GB"/>
        </w:rPr>
        <w:t xml:space="preserve"> epidemic</w:t>
      </w:r>
      <w:r>
        <w:rPr>
          <w:sz w:val="24"/>
          <w:szCs w:val="24"/>
          <w:lang w:val="en-GB"/>
        </w:rPr>
        <w:t>, and support enterprises in organising employees to train in the form of work.</w:t>
      </w:r>
      <w:r>
        <w:rPr>
          <w:rFonts w:hint="eastAsia"/>
          <w:sz w:val="24"/>
          <w:szCs w:val="24"/>
          <w:lang w:val="en-GB"/>
        </w:rPr>
        <w:t xml:space="preserve"> </w:t>
      </w:r>
      <w:r>
        <w:rPr>
          <w:sz w:val="24"/>
          <w:szCs w:val="24"/>
          <w:lang w:val="en-GB"/>
        </w:rPr>
        <w:t xml:space="preserve">The </w:t>
      </w:r>
      <w:r>
        <w:rPr>
          <w:rFonts w:hint="eastAsia"/>
          <w:sz w:val="24"/>
          <w:szCs w:val="24"/>
          <w:lang w:val="en-GB"/>
        </w:rPr>
        <w:t>identification</w:t>
      </w:r>
      <w:r>
        <w:rPr>
          <w:sz w:val="24"/>
          <w:szCs w:val="24"/>
          <w:lang w:val="en-GB"/>
        </w:rPr>
        <w:t xml:space="preserve"> of medium- or high-risk areas is subject to the announcement issued by the epidemic prevention and control headquarters or health authorities at or above the prefectur</w:t>
      </w:r>
      <w:r>
        <w:rPr>
          <w:rFonts w:hint="eastAsia"/>
          <w:sz w:val="24"/>
          <w:szCs w:val="24"/>
          <w:lang w:val="en-GB"/>
        </w:rPr>
        <w:t>al</w:t>
      </w:r>
      <w:r>
        <w:rPr>
          <w:sz w:val="24"/>
          <w:szCs w:val="24"/>
          <w:lang w:val="en-GB"/>
        </w:rPr>
        <w:t xml:space="preserve"> level.</w:t>
      </w:r>
    </w:p>
    <w:p>
      <w:pPr>
        <w:ind w:firstLine="482" w:firstLineChars="200"/>
        <w:rPr>
          <w:rFonts w:eastAsia="楷体_GB2312"/>
          <w:b/>
          <w:bCs/>
          <w:color w:val="000000" w:themeColor="text1"/>
          <w:kern w:val="0"/>
          <w:sz w:val="24"/>
          <w:szCs w:val="24"/>
          <w:lang w:val="en-GB"/>
          <w14:textFill>
            <w14:solidFill>
              <w14:schemeClr w14:val="tx1"/>
            </w14:solidFill>
          </w14:textFill>
        </w:rPr>
      </w:pPr>
      <w:r>
        <w:rPr>
          <w:b/>
          <w:sz w:val="24"/>
          <w:szCs w:val="24"/>
          <w:lang w:val="en-GB"/>
        </w:rPr>
        <w:t xml:space="preserve">II. </w:t>
      </w:r>
      <w:r>
        <w:rPr>
          <w:rFonts w:hint="eastAsia"/>
          <w:b/>
          <w:sz w:val="24"/>
          <w:szCs w:val="24"/>
          <w:lang w:val="en-GB"/>
        </w:rPr>
        <w:t>Subsidy r</w:t>
      </w:r>
      <w:r>
        <w:rPr>
          <w:b/>
          <w:sz w:val="24"/>
          <w:szCs w:val="24"/>
          <w:lang w:val="en-GB"/>
        </w:rPr>
        <w:t>eceivers</w:t>
      </w:r>
    </w:p>
    <w:p>
      <w:pPr>
        <w:ind w:firstLine="480" w:firstLineChars="200"/>
        <w:rPr>
          <w:color w:val="000000" w:themeColor="text1"/>
          <w:kern w:val="0"/>
          <w:sz w:val="24"/>
          <w:szCs w:val="24"/>
          <w:lang w:val="en-GB"/>
          <w14:textFill>
            <w14:solidFill>
              <w14:schemeClr w14:val="tx1"/>
            </w14:solidFill>
          </w14:textFill>
        </w:rPr>
      </w:pPr>
      <w:r>
        <w:rPr>
          <w:sz w:val="24"/>
          <w:szCs w:val="24"/>
          <w:lang w:val="en-GB"/>
        </w:rPr>
        <w:t xml:space="preserve">The subsidy is intended for MSMEs that are temporarily unable to operate normally due to the severe impact of COVID-19 within the jurisdiction of the </w:t>
      </w:r>
      <w:r>
        <w:rPr>
          <w:rFonts w:hint="eastAsia"/>
          <w:sz w:val="24"/>
          <w:szCs w:val="24"/>
          <w:lang w:val="en-GB"/>
        </w:rPr>
        <w:t>city</w:t>
      </w:r>
      <w:r>
        <w:rPr>
          <w:sz w:val="24"/>
          <w:szCs w:val="24"/>
          <w:lang w:val="en-GB"/>
        </w:rPr>
        <w:t xml:space="preserve">. Subsidies for social groups, foundations, social service agencies, law firms, accounting firms, and self-employed households insured as public employers (hereinafter referred to as “units”) </w:t>
      </w:r>
      <w:r>
        <w:rPr>
          <w:rFonts w:hint="eastAsia"/>
          <w:sz w:val="24"/>
          <w:szCs w:val="24"/>
          <w:lang w:val="en-GB"/>
        </w:rPr>
        <w:t>shall</w:t>
      </w:r>
      <w:r>
        <w:rPr>
          <w:sz w:val="24"/>
          <w:szCs w:val="24"/>
          <w:lang w:val="en-GB"/>
        </w:rPr>
        <w:t xml:space="preserve"> be implemented with reference to this policy.</w:t>
      </w:r>
      <w:r>
        <w:rPr>
          <w:rFonts w:hint="eastAsia"/>
          <w:sz w:val="24"/>
          <w:szCs w:val="24"/>
          <w:lang w:val="en-GB"/>
        </w:rPr>
        <w:t xml:space="preserve"> </w:t>
      </w:r>
      <w:r>
        <w:rPr>
          <w:sz w:val="24"/>
          <w:szCs w:val="24"/>
          <w:lang w:val="en-GB"/>
        </w:rPr>
        <w:t xml:space="preserve">Among them, commercial human resources service agencies and labour dispatch agencies should be granted subsidies according to the actual number of workers they employ (if necessary, they </w:t>
      </w:r>
      <w:r>
        <w:rPr>
          <w:rFonts w:hint="eastAsia"/>
          <w:sz w:val="24"/>
          <w:szCs w:val="24"/>
          <w:lang w:val="en-GB"/>
        </w:rPr>
        <w:t xml:space="preserve">need to </w:t>
      </w:r>
      <w:r>
        <w:rPr>
          <w:sz w:val="24"/>
          <w:szCs w:val="24"/>
          <w:lang w:val="en-GB"/>
        </w:rPr>
        <w:t xml:space="preserve">provide the relevant documents required by the handling agency), and zombie enterprises are not included in the subsidy list. Types of enterprises are classified in accordance with the </w:t>
      </w:r>
      <w:r>
        <w:rPr>
          <w:i/>
          <w:sz w:val="24"/>
          <w:szCs w:val="24"/>
          <w:lang w:val="en-GB"/>
        </w:rPr>
        <w:t xml:space="preserve">Notice of the National Bureau of Statistics on the Issuance of Measures for the Classification of Large, Small, Medium- and Micro-Sized Enterprises </w:t>
      </w:r>
      <w:r>
        <w:rPr>
          <w:rFonts w:hint="eastAsia"/>
          <w:i/>
          <w:sz w:val="24"/>
          <w:szCs w:val="24"/>
          <w:lang w:val="en-GB"/>
        </w:rPr>
        <w:t xml:space="preserve">for Statistical Purpose </w:t>
      </w:r>
      <w:r>
        <w:rPr>
          <w:i/>
          <w:sz w:val="24"/>
          <w:szCs w:val="24"/>
          <w:lang w:val="en-GB"/>
        </w:rPr>
        <w:t xml:space="preserve">(2017) </w:t>
      </w:r>
      <w:r>
        <w:rPr>
          <w:sz w:val="24"/>
          <w:szCs w:val="24"/>
          <w:lang w:val="en-GB"/>
        </w:rPr>
        <w:t>(</w:t>
      </w:r>
      <w:r>
        <w:rPr>
          <w:i/>
          <w:iCs/>
          <w:sz w:val="24"/>
          <w:szCs w:val="24"/>
          <w:lang w:val="en-GB"/>
        </w:rPr>
        <w:t>GTZ [2017] No. 213</w:t>
      </w:r>
      <w:r>
        <w:rPr>
          <w:sz w:val="24"/>
          <w:szCs w:val="24"/>
          <w:lang w:val="en-GB"/>
        </w:rPr>
        <w:t xml:space="preserve">, hereinafter referred to as </w:t>
      </w:r>
      <w:r>
        <w:rPr>
          <w:i/>
          <w:sz w:val="24"/>
          <w:szCs w:val="24"/>
          <w:lang w:val="en-GB"/>
        </w:rPr>
        <w:t>Document 213</w:t>
      </w:r>
      <w:r>
        <w:rPr>
          <w:sz w:val="24"/>
          <w:szCs w:val="24"/>
          <w:lang w:val="en-GB"/>
        </w:rPr>
        <w:t xml:space="preserve">); the types of units are classified with reference to other industry standards not specified in </w:t>
      </w:r>
      <w:r>
        <w:rPr>
          <w:rFonts w:hint="eastAsia"/>
          <w:sz w:val="24"/>
          <w:szCs w:val="24"/>
          <w:lang w:val="en-US" w:eastAsia="zh-CN"/>
        </w:rPr>
        <w:t xml:space="preserve">the </w:t>
      </w:r>
      <w:r>
        <w:rPr>
          <w:rFonts w:hint="eastAsia"/>
          <w:i/>
          <w:sz w:val="24"/>
          <w:szCs w:val="24"/>
          <w:lang w:val="en-GB"/>
        </w:rPr>
        <w:t>Document</w:t>
      </w:r>
      <w:r>
        <w:rPr>
          <w:i/>
          <w:sz w:val="24"/>
          <w:szCs w:val="24"/>
          <w:lang w:val="en-GB"/>
        </w:rPr>
        <w:t xml:space="preserve"> 213</w:t>
      </w:r>
      <w:r>
        <w:rPr>
          <w:sz w:val="24"/>
          <w:szCs w:val="24"/>
          <w:lang w:val="en-GB"/>
        </w:rPr>
        <w:t xml:space="preserve"> (a business with an average number of 300 insured employees or more is a large enterprise, or it falls into </w:t>
      </w:r>
      <w:r>
        <w:rPr>
          <w:rFonts w:hint="eastAsia"/>
          <w:sz w:val="24"/>
          <w:szCs w:val="24"/>
          <w:lang w:val="en-GB"/>
        </w:rPr>
        <w:t xml:space="preserve">the category of </w:t>
      </w:r>
      <w:r>
        <w:rPr>
          <w:sz w:val="24"/>
          <w:szCs w:val="24"/>
          <w:lang w:val="en-GB"/>
        </w:rPr>
        <w:t>MSMEs).</w:t>
      </w:r>
    </w:p>
    <w:p>
      <w:pPr>
        <w:pStyle w:val="6"/>
        <w:spacing w:before="0" w:beforeAutospacing="0" w:after="0" w:afterAutospacing="0"/>
        <w:ind w:firstLine="480" w:firstLineChars="200"/>
        <w:jc w:val="both"/>
        <w:rPr>
          <w:color w:val="000000" w:themeColor="text1"/>
          <w:szCs w:val="24"/>
          <w:lang w:val="en-GB"/>
          <w14:textFill>
            <w14:solidFill>
              <w14:schemeClr w14:val="tx1"/>
            </w14:solidFill>
          </w14:textFill>
        </w:rPr>
      </w:pPr>
      <w:r>
        <w:rPr>
          <w:szCs w:val="24"/>
          <w:lang w:val="en-GB"/>
        </w:rPr>
        <w:t xml:space="preserve">Local handling agencies may issue a one-off </w:t>
      </w:r>
      <w:r>
        <w:rPr>
          <w:rFonts w:hint="eastAsia"/>
          <w:szCs w:val="24"/>
          <w:lang w:val="en-GB"/>
        </w:rPr>
        <w:t xml:space="preserve">vocational </w:t>
      </w:r>
      <w:r>
        <w:rPr>
          <w:szCs w:val="24"/>
          <w:lang w:val="en-GB"/>
        </w:rPr>
        <w:t xml:space="preserve">training subsidy to MSMEs and units within the </w:t>
      </w:r>
      <w:r>
        <w:rPr>
          <w:rFonts w:hint="eastAsia"/>
          <w:szCs w:val="24"/>
          <w:lang w:val="en-GB"/>
        </w:rPr>
        <w:t>city</w:t>
      </w:r>
      <w:r>
        <w:rPr>
          <w:szCs w:val="24"/>
          <w:lang w:val="en-GB"/>
        </w:rPr>
        <w:t xml:space="preserve">’s jurisdiction that are severely affected by COVID-19, and inform them of the conditions of entitlement to the subsidy through appropriate means at the time of issuance. MSMEs and units that consider themselves ineligible may return the subsidy funds </w:t>
      </w:r>
      <w:r>
        <w:rPr>
          <w:rFonts w:hint="eastAsia"/>
          <w:szCs w:val="24"/>
          <w:lang w:val="en-GB"/>
        </w:rPr>
        <w:t xml:space="preserve">they </w:t>
      </w:r>
      <w:r>
        <w:rPr>
          <w:szCs w:val="24"/>
          <w:lang w:val="en-GB"/>
        </w:rPr>
        <w:t xml:space="preserve">received to the social security agency. </w:t>
      </w:r>
      <w:r>
        <w:rPr>
          <w:rFonts w:hint="eastAsia"/>
          <w:szCs w:val="24"/>
          <w:lang w:val="en-GB"/>
        </w:rPr>
        <w:t>If</w:t>
      </w:r>
      <w:r>
        <w:rPr>
          <w:szCs w:val="24"/>
          <w:lang w:val="en-GB"/>
        </w:rPr>
        <w:t xml:space="preserve">, after the </w:t>
      </w:r>
      <w:r>
        <w:rPr>
          <w:rFonts w:hint="eastAsia"/>
          <w:szCs w:val="24"/>
          <w:lang w:val="en-GB"/>
        </w:rPr>
        <w:t xml:space="preserve">further examination </w:t>
      </w:r>
      <w:r>
        <w:rPr>
          <w:szCs w:val="24"/>
          <w:lang w:val="en-GB"/>
        </w:rPr>
        <w:t>by the social security agency, the subsidy is issued to an enterprise or unit that does not meet the requirements, the said enterprise or unit is obliged to cooperate with the social security agency in recovering the subsidy funds abovementioned.</w:t>
      </w:r>
    </w:p>
    <w:p>
      <w:pPr>
        <w:ind w:firstLine="482" w:firstLineChars="200"/>
        <w:rPr>
          <w:rFonts w:eastAsia="楷体_GB2312"/>
          <w:b/>
          <w:bCs/>
          <w:color w:val="000000" w:themeColor="text1"/>
          <w:kern w:val="0"/>
          <w:sz w:val="24"/>
          <w:szCs w:val="24"/>
          <w:lang w:val="en-GB"/>
          <w14:textFill>
            <w14:solidFill>
              <w14:schemeClr w14:val="tx1"/>
            </w14:solidFill>
          </w14:textFill>
        </w:rPr>
      </w:pPr>
      <w:r>
        <w:rPr>
          <w:b/>
          <w:sz w:val="24"/>
          <w:szCs w:val="24"/>
          <w:lang w:val="en-GB"/>
        </w:rPr>
        <w:t>III. Criteria for subsidy and calculation of the number of insured persons</w:t>
      </w:r>
    </w:p>
    <w:p>
      <w:pPr>
        <w:pStyle w:val="6"/>
        <w:spacing w:before="0" w:beforeAutospacing="0" w:after="0" w:afterAutospacing="0"/>
        <w:ind w:firstLine="480" w:firstLineChars="200"/>
        <w:jc w:val="both"/>
        <w:rPr>
          <w:szCs w:val="24"/>
          <w:lang w:val="en-GB"/>
        </w:rPr>
      </w:pPr>
      <w:r>
        <w:rPr>
          <w:szCs w:val="24"/>
          <w:lang w:val="en-GB"/>
        </w:rPr>
        <w:t xml:space="preserve">A one-off </w:t>
      </w:r>
      <w:r>
        <w:rPr>
          <w:rFonts w:hint="eastAsia"/>
          <w:szCs w:val="24"/>
          <w:lang w:val="en-GB"/>
        </w:rPr>
        <w:t xml:space="preserve">vocational </w:t>
      </w:r>
      <w:r>
        <w:rPr>
          <w:szCs w:val="24"/>
          <w:lang w:val="en-GB"/>
        </w:rPr>
        <w:t xml:space="preserve">training subsidy of 500 yuan per insured worker is paid to the above enterprises and units, i.e. the amount of the subsidy is equal to the number of insured persons multiplied by 500 yuan. </w:t>
      </w:r>
    </w:p>
    <w:p>
      <w:pPr>
        <w:pStyle w:val="6"/>
        <w:spacing w:before="0" w:beforeAutospacing="0" w:after="0" w:afterAutospacing="0"/>
        <w:ind w:firstLine="480" w:firstLineChars="200"/>
        <w:jc w:val="both"/>
        <w:rPr>
          <w:color w:val="000000" w:themeColor="text1"/>
          <w:szCs w:val="24"/>
          <w:lang w:val="en-GB"/>
          <w14:textFill>
            <w14:solidFill>
              <w14:schemeClr w14:val="tx1"/>
            </w14:solidFill>
          </w14:textFill>
        </w:rPr>
      </w:pPr>
      <w:r>
        <w:rPr>
          <w:szCs w:val="24"/>
          <w:lang w:val="en-GB"/>
        </w:rPr>
        <w:t>The insured workers abovementioned mean those who are covered by unemployment insurance. The number of insured workers is calculated as follows:</w:t>
      </w:r>
    </w:p>
    <w:p>
      <w:pPr>
        <w:pStyle w:val="6"/>
        <w:spacing w:before="0" w:beforeAutospacing="0" w:after="0" w:afterAutospacing="0"/>
        <w:ind w:firstLine="480" w:firstLineChars="200"/>
        <w:jc w:val="both"/>
        <w:rPr>
          <w:color w:val="000000" w:themeColor="text1"/>
          <w:szCs w:val="24"/>
          <w:lang w:val="en-GB"/>
          <w14:textFill>
            <w14:solidFill>
              <w14:schemeClr w14:val="tx1"/>
            </w14:solidFill>
          </w14:textFill>
        </w:rPr>
      </w:pPr>
      <w:r>
        <w:rPr>
          <w:szCs w:val="24"/>
          <w:lang w:val="en-GB"/>
        </w:rPr>
        <w:t xml:space="preserve">(i) For </w:t>
      </w:r>
      <w:r>
        <w:rPr>
          <w:rFonts w:hint="eastAsia"/>
          <w:szCs w:val="24"/>
          <w:lang w:val="en-GB"/>
        </w:rPr>
        <w:t>cities</w:t>
      </w:r>
      <w:r>
        <w:rPr>
          <w:szCs w:val="24"/>
          <w:lang w:val="en-GB"/>
        </w:rPr>
        <w:t xml:space="preserve"> at or above the prefectur</w:t>
      </w:r>
      <w:r>
        <w:rPr>
          <w:rFonts w:hint="eastAsia"/>
          <w:szCs w:val="24"/>
          <w:lang w:val="en-GB"/>
        </w:rPr>
        <w:t>al</w:t>
      </w:r>
      <w:r>
        <w:rPr>
          <w:szCs w:val="24"/>
          <w:lang w:val="en-GB"/>
        </w:rPr>
        <w:t xml:space="preserve"> level with </w:t>
      </w:r>
      <w:r>
        <w:rPr>
          <w:rFonts w:hint="eastAsia"/>
          <w:szCs w:val="24"/>
          <w:lang w:val="en-GB"/>
        </w:rPr>
        <w:t xml:space="preserve">one </w:t>
      </w:r>
      <w:r>
        <w:rPr>
          <w:szCs w:val="24"/>
          <w:lang w:val="en-GB"/>
        </w:rPr>
        <w:t xml:space="preserve">medium- or high-risk area </w:t>
      </w:r>
      <w:r>
        <w:rPr>
          <w:rFonts w:hint="eastAsia"/>
          <w:szCs w:val="24"/>
          <w:lang w:val="en-GB"/>
        </w:rPr>
        <w:t xml:space="preserve">for COVID-19 or more </w:t>
      </w:r>
      <w:r>
        <w:rPr>
          <w:szCs w:val="24"/>
          <w:lang w:val="en-GB"/>
        </w:rPr>
        <w:t xml:space="preserve">from January to April 2022, the number of insured workers </w:t>
      </w:r>
      <w:r>
        <w:rPr>
          <w:rFonts w:hint="eastAsia"/>
          <w:szCs w:val="24"/>
          <w:lang w:val="en-GB"/>
        </w:rPr>
        <w:t>shall</w:t>
      </w:r>
      <w:r>
        <w:rPr>
          <w:szCs w:val="24"/>
          <w:lang w:val="en-GB"/>
        </w:rPr>
        <w:t xml:space="preserve"> be the average number of insured workers of that enterprise or unit from January to April 2022.</w:t>
      </w:r>
    </w:p>
    <w:p>
      <w:pPr>
        <w:pStyle w:val="6"/>
        <w:spacing w:before="0" w:beforeAutospacing="0" w:after="0" w:afterAutospacing="0"/>
        <w:ind w:firstLine="480" w:firstLineChars="200"/>
        <w:jc w:val="both"/>
        <w:rPr>
          <w:color w:val="000000" w:themeColor="text1"/>
          <w:szCs w:val="24"/>
          <w:lang w:val="en-GB"/>
          <w14:textFill>
            <w14:solidFill>
              <w14:schemeClr w14:val="tx1"/>
            </w14:solidFill>
          </w14:textFill>
        </w:rPr>
      </w:pPr>
      <w:r>
        <w:rPr>
          <w:szCs w:val="24"/>
          <w:lang w:val="en-GB"/>
        </w:rPr>
        <w:t xml:space="preserve">(ii) For </w:t>
      </w:r>
      <w:r>
        <w:rPr>
          <w:rFonts w:hint="eastAsia"/>
          <w:szCs w:val="24"/>
          <w:lang w:val="en-GB"/>
        </w:rPr>
        <w:t>cities</w:t>
      </w:r>
      <w:r>
        <w:rPr>
          <w:szCs w:val="24"/>
          <w:lang w:val="en-GB"/>
        </w:rPr>
        <w:t xml:space="preserve"> at or above the prefectur</w:t>
      </w:r>
      <w:r>
        <w:rPr>
          <w:rFonts w:hint="eastAsia"/>
          <w:szCs w:val="24"/>
          <w:lang w:val="en-GB"/>
        </w:rPr>
        <w:t>al</w:t>
      </w:r>
      <w:r>
        <w:rPr>
          <w:szCs w:val="24"/>
          <w:lang w:val="en-GB"/>
        </w:rPr>
        <w:t xml:space="preserve"> level with </w:t>
      </w:r>
      <w:r>
        <w:rPr>
          <w:rFonts w:hint="eastAsia"/>
          <w:szCs w:val="24"/>
          <w:lang w:val="en-GB"/>
        </w:rPr>
        <w:t xml:space="preserve">one </w:t>
      </w:r>
      <w:r>
        <w:rPr>
          <w:szCs w:val="24"/>
          <w:lang w:val="en-GB"/>
        </w:rPr>
        <w:t>medium- or high-risk area</w:t>
      </w:r>
      <w:r>
        <w:rPr>
          <w:rFonts w:hint="eastAsia"/>
          <w:szCs w:val="24"/>
          <w:lang w:val="en-GB"/>
        </w:rPr>
        <w:t xml:space="preserve"> for COVID-19</w:t>
      </w:r>
      <w:r>
        <w:rPr>
          <w:szCs w:val="24"/>
          <w:lang w:val="en-GB"/>
        </w:rPr>
        <w:t xml:space="preserve"> </w:t>
      </w:r>
      <w:r>
        <w:rPr>
          <w:rFonts w:hint="eastAsia"/>
          <w:szCs w:val="24"/>
          <w:lang w:val="en-GB"/>
        </w:rPr>
        <w:t xml:space="preserve">or </w:t>
      </w:r>
      <w:r>
        <w:rPr>
          <w:szCs w:val="24"/>
          <w:lang w:val="en-GB"/>
        </w:rPr>
        <w:t>more in May 2022 and thereafter, the number of insured employees sh</w:t>
      </w:r>
      <w:r>
        <w:rPr>
          <w:rFonts w:hint="eastAsia"/>
          <w:szCs w:val="24"/>
          <w:lang w:val="en-GB"/>
        </w:rPr>
        <w:t>all</w:t>
      </w:r>
      <w:r>
        <w:rPr>
          <w:szCs w:val="24"/>
          <w:lang w:val="en-GB"/>
        </w:rPr>
        <w:t xml:space="preserve"> be the average number of insured workers of that enterprise or unit from January 2022 to the month in which the medium- or high-risk area</w:t>
      </w:r>
      <w:r>
        <w:rPr>
          <w:rFonts w:hint="eastAsia"/>
          <w:szCs w:val="24"/>
          <w:lang w:val="en-GB"/>
        </w:rPr>
        <w:t>(s)</w:t>
      </w:r>
      <w:r>
        <w:rPr>
          <w:szCs w:val="24"/>
          <w:lang w:val="en-GB"/>
        </w:rPr>
        <w:t xml:space="preserve"> emerged.</w:t>
      </w:r>
    </w:p>
    <w:p>
      <w:pPr>
        <w:pStyle w:val="6"/>
        <w:spacing w:before="0" w:beforeAutospacing="0" w:after="0" w:afterAutospacing="0"/>
        <w:ind w:firstLine="480" w:firstLineChars="200"/>
        <w:jc w:val="both"/>
        <w:rPr>
          <w:color w:val="000000" w:themeColor="text1"/>
          <w:szCs w:val="24"/>
          <w:lang w:val="en-GB"/>
          <w14:textFill>
            <w14:solidFill>
              <w14:schemeClr w14:val="tx1"/>
            </w14:solidFill>
          </w14:textFill>
        </w:rPr>
      </w:pPr>
      <w:r>
        <w:rPr>
          <w:szCs w:val="24"/>
          <w:lang w:val="en-GB"/>
        </w:rPr>
        <w:t>(iii) For newly established enterprises and units in 2022, the number of insured persons will be the average number of insured persons from the month of their establishment to the month in which the medium- or high-risk area</w:t>
      </w:r>
      <w:r>
        <w:rPr>
          <w:rFonts w:hint="eastAsia"/>
          <w:szCs w:val="24"/>
          <w:lang w:val="en-GB"/>
        </w:rPr>
        <w:t>(s)</w:t>
      </w:r>
      <w:r>
        <w:rPr>
          <w:szCs w:val="24"/>
          <w:lang w:val="en-GB"/>
        </w:rPr>
        <w:t xml:space="preserve"> emerged (enterprises and units established after the control measures in the medium- or high-risk area</w:t>
      </w:r>
      <w:r>
        <w:rPr>
          <w:rFonts w:hint="eastAsia"/>
          <w:szCs w:val="24"/>
          <w:lang w:val="en-GB"/>
        </w:rPr>
        <w:t>(</w:t>
      </w:r>
      <w:r>
        <w:rPr>
          <w:szCs w:val="24"/>
          <w:lang w:val="en-GB"/>
        </w:rPr>
        <w:t>s</w:t>
      </w:r>
      <w:r>
        <w:rPr>
          <w:rFonts w:hint="eastAsia"/>
          <w:szCs w:val="24"/>
          <w:lang w:val="en-GB"/>
        </w:rPr>
        <w:t>)</w:t>
      </w:r>
      <w:r>
        <w:rPr>
          <w:szCs w:val="24"/>
          <w:lang w:val="en-GB"/>
        </w:rPr>
        <w:t xml:space="preserve"> have been lifted </w:t>
      </w:r>
      <w:r>
        <w:rPr>
          <w:rFonts w:hint="eastAsia"/>
          <w:szCs w:val="24"/>
          <w:lang w:val="en-GB"/>
        </w:rPr>
        <w:t xml:space="preserve">shall </w:t>
      </w:r>
      <w:r>
        <w:rPr>
          <w:szCs w:val="24"/>
          <w:lang w:val="en-GB"/>
        </w:rPr>
        <w:t xml:space="preserve">not be eligible for the one-off </w:t>
      </w:r>
      <w:r>
        <w:rPr>
          <w:rFonts w:hint="eastAsia"/>
          <w:szCs w:val="24"/>
          <w:lang w:val="en-GB"/>
        </w:rPr>
        <w:t xml:space="preserve">vocational </w:t>
      </w:r>
      <w:r>
        <w:rPr>
          <w:szCs w:val="24"/>
          <w:lang w:val="en-GB"/>
        </w:rPr>
        <w:t>training subsidy).</w:t>
      </w:r>
    </w:p>
    <w:p>
      <w:pPr>
        <w:ind w:firstLine="480" w:firstLineChars="200"/>
        <w:rPr>
          <w:sz w:val="24"/>
          <w:szCs w:val="24"/>
          <w:lang w:val="en-GB"/>
        </w:rPr>
      </w:pPr>
      <w:r>
        <w:rPr>
          <w:sz w:val="24"/>
          <w:szCs w:val="24"/>
          <w:lang w:val="en-GB"/>
        </w:rPr>
        <w:t xml:space="preserve">The number of insured workers </w:t>
      </w:r>
      <w:r>
        <w:rPr>
          <w:rFonts w:hint="eastAsia"/>
          <w:sz w:val="24"/>
          <w:szCs w:val="24"/>
          <w:lang w:val="en-GB"/>
        </w:rPr>
        <w:t>shall</w:t>
      </w:r>
      <w:r>
        <w:rPr>
          <w:sz w:val="24"/>
          <w:szCs w:val="24"/>
          <w:lang w:val="en-GB"/>
        </w:rPr>
        <w:t xml:space="preserve"> be rounded to 2 decimal places according to the above calculation method.</w:t>
      </w:r>
    </w:p>
    <w:p>
      <w:pPr>
        <w:ind w:firstLine="482" w:firstLineChars="200"/>
        <w:rPr>
          <w:rFonts w:eastAsia="黑体"/>
          <w:b/>
          <w:color w:val="000000" w:themeColor="text1"/>
          <w:kern w:val="0"/>
          <w:sz w:val="24"/>
          <w:szCs w:val="24"/>
          <w:lang w:val="en-GB"/>
          <w14:textFill>
            <w14:solidFill>
              <w14:schemeClr w14:val="tx1"/>
            </w14:solidFill>
          </w14:textFill>
        </w:rPr>
      </w:pPr>
      <w:r>
        <w:rPr>
          <w:b/>
          <w:sz w:val="24"/>
          <w:szCs w:val="24"/>
          <w:lang w:val="en-GB"/>
        </w:rPr>
        <w:t>IV. Other matters</w:t>
      </w:r>
    </w:p>
    <w:p>
      <w:pPr>
        <w:ind w:firstLine="482" w:firstLineChars="200"/>
        <w:rPr>
          <w:color w:val="000000" w:themeColor="text1"/>
          <w:kern w:val="0"/>
          <w:sz w:val="24"/>
          <w:szCs w:val="24"/>
          <w:lang w:val="en-GB"/>
          <w14:textFill>
            <w14:solidFill>
              <w14:schemeClr w14:val="tx1"/>
            </w14:solidFill>
          </w14:textFill>
        </w:rPr>
      </w:pPr>
      <w:r>
        <w:rPr>
          <w:b/>
          <w:sz w:val="24"/>
          <w:szCs w:val="24"/>
          <w:lang w:val="en-GB"/>
        </w:rPr>
        <w:t xml:space="preserve">(i) Issuance without </w:t>
      </w:r>
      <w:r>
        <w:rPr>
          <w:rFonts w:hint="eastAsia"/>
          <w:b/>
          <w:sz w:val="24"/>
          <w:szCs w:val="24"/>
          <w:lang w:val="en-GB"/>
        </w:rPr>
        <w:t xml:space="preserve">the need of </w:t>
      </w:r>
      <w:r>
        <w:rPr>
          <w:b/>
          <w:sz w:val="24"/>
          <w:szCs w:val="24"/>
          <w:lang w:val="en-GB"/>
        </w:rPr>
        <w:t xml:space="preserve">application. </w:t>
      </w:r>
      <w:r>
        <w:rPr>
          <w:sz w:val="24"/>
          <w:szCs w:val="24"/>
          <w:lang w:val="en-GB"/>
        </w:rPr>
        <w:t xml:space="preserve">The one-off </w:t>
      </w:r>
      <w:bookmarkStart w:id="0" w:name="OLE_LINK3"/>
      <w:r>
        <w:rPr>
          <w:rFonts w:hint="eastAsia"/>
          <w:sz w:val="24"/>
          <w:szCs w:val="24"/>
          <w:lang w:val="en-GB"/>
        </w:rPr>
        <w:t xml:space="preserve">vocational </w:t>
      </w:r>
      <w:r>
        <w:rPr>
          <w:sz w:val="24"/>
          <w:szCs w:val="24"/>
          <w:lang w:val="en-GB"/>
        </w:rPr>
        <w:t>training</w:t>
      </w:r>
      <w:bookmarkEnd w:id="0"/>
      <w:r>
        <w:rPr>
          <w:sz w:val="24"/>
          <w:szCs w:val="24"/>
          <w:lang w:val="en-GB"/>
        </w:rPr>
        <w:t xml:space="preserve"> subsidy</w:t>
      </w:r>
      <w:r>
        <w:rPr>
          <w:rStyle w:val="9"/>
          <w:sz w:val="24"/>
          <w:lang w:val="en-GB"/>
        </w:rPr>
        <w:t xml:space="preserve"> </w:t>
      </w:r>
      <w:r>
        <w:rPr>
          <w:rStyle w:val="9"/>
          <w:rFonts w:hint="eastAsia"/>
          <w:sz w:val="24"/>
          <w:lang w:val="en-GB"/>
        </w:rPr>
        <w:t xml:space="preserve">is issued without the need of application, </w:t>
      </w:r>
      <w:r>
        <w:rPr>
          <w:sz w:val="24"/>
          <w:szCs w:val="24"/>
          <w:lang w:val="en-GB"/>
        </w:rPr>
        <w:t xml:space="preserve">and is paid by the local social security agencies to the public accounts of the </w:t>
      </w:r>
      <w:r>
        <w:rPr>
          <w:rFonts w:hint="eastAsia"/>
          <w:sz w:val="24"/>
          <w:szCs w:val="24"/>
          <w:lang w:val="en-GB"/>
        </w:rPr>
        <w:t xml:space="preserve">eligible </w:t>
      </w:r>
      <w:r>
        <w:rPr>
          <w:sz w:val="24"/>
          <w:szCs w:val="24"/>
          <w:lang w:val="en-GB"/>
        </w:rPr>
        <w:t>enterprises and units through big data matching.</w:t>
      </w:r>
      <w:r>
        <w:rPr>
          <w:rStyle w:val="9"/>
          <w:sz w:val="24"/>
          <w:lang w:val="en-GB"/>
        </w:rPr>
        <w:t xml:space="preserve"> </w:t>
      </w:r>
      <w:r>
        <w:rPr>
          <w:sz w:val="24"/>
          <w:szCs w:val="24"/>
          <w:lang w:val="en-GB"/>
        </w:rPr>
        <w:t xml:space="preserve">For those that do not have a public account, the subsidy will be issued to the account provided by the tax </w:t>
      </w:r>
      <w:r>
        <w:rPr>
          <w:rFonts w:hint="eastAsia"/>
          <w:sz w:val="24"/>
          <w:szCs w:val="24"/>
          <w:lang w:val="en-GB"/>
        </w:rPr>
        <w:t xml:space="preserve">agencies in accordance with </w:t>
      </w:r>
      <w:r>
        <w:rPr>
          <w:sz w:val="24"/>
          <w:szCs w:val="24"/>
          <w:lang w:val="en-GB"/>
        </w:rPr>
        <w:t xml:space="preserve">the </w:t>
      </w:r>
      <w:r>
        <w:rPr>
          <w:i/>
          <w:sz w:val="24"/>
          <w:szCs w:val="24"/>
          <w:lang w:val="en-GB"/>
        </w:rPr>
        <w:t>Tripartite Agreement on Entrusting Banks (Financial Institutions) to Transfer Tax and Fee Payments</w:t>
      </w:r>
      <w:r>
        <w:rPr>
          <w:sz w:val="24"/>
          <w:szCs w:val="24"/>
          <w:lang w:val="en-GB"/>
        </w:rPr>
        <w:t xml:space="preserve"> </w:t>
      </w:r>
      <w:r>
        <w:rPr>
          <w:rFonts w:hint="eastAsia"/>
          <w:sz w:val="24"/>
          <w:szCs w:val="24"/>
          <w:lang w:val="en-GB"/>
        </w:rPr>
        <w:t>signed with the enterprises and units</w:t>
      </w:r>
      <w:r>
        <w:rPr>
          <w:sz w:val="24"/>
          <w:szCs w:val="24"/>
          <w:lang w:val="en-GB"/>
        </w:rPr>
        <w:t xml:space="preserve">. For </w:t>
      </w:r>
      <w:r>
        <w:rPr>
          <w:rFonts w:hint="eastAsia"/>
          <w:sz w:val="24"/>
          <w:szCs w:val="24"/>
          <w:lang w:val="en-GB"/>
        </w:rPr>
        <w:t>cities</w:t>
      </w:r>
      <w:r>
        <w:rPr>
          <w:sz w:val="24"/>
          <w:szCs w:val="24"/>
          <w:lang w:val="en-GB"/>
        </w:rPr>
        <w:t xml:space="preserve"> at or above the prefectur</w:t>
      </w:r>
      <w:r>
        <w:rPr>
          <w:rFonts w:hint="eastAsia"/>
          <w:sz w:val="24"/>
          <w:szCs w:val="24"/>
          <w:lang w:val="en-GB"/>
        </w:rPr>
        <w:t>al</w:t>
      </w:r>
      <w:r>
        <w:rPr>
          <w:sz w:val="24"/>
          <w:szCs w:val="24"/>
          <w:lang w:val="en-GB"/>
        </w:rPr>
        <w:t xml:space="preserve"> level with medium- or high-risk areas </w:t>
      </w:r>
      <w:r>
        <w:rPr>
          <w:rFonts w:hint="eastAsia"/>
          <w:sz w:val="24"/>
          <w:szCs w:val="24"/>
          <w:lang w:val="en-GB"/>
        </w:rPr>
        <w:t xml:space="preserve">for COVID-19 </w:t>
      </w:r>
      <w:r>
        <w:rPr>
          <w:sz w:val="24"/>
          <w:szCs w:val="24"/>
          <w:lang w:val="en-GB"/>
        </w:rPr>
        <w:t xml:space="preserve">before the issuance of this document, in principle, the subsidy shall be given within one month upon the issuance of this document; for </w:t>
      </w:r>
      <w:r>
        <w:rPr>
          <w:rFonts w:hint="eastAsia"/>
          <w:sz w:val="24"/>
          <w:szCs w:val="24"/>
          <w:lang w:val="en-GB"/>
        </w:rPr>
        <w:t>cities</w:t>
      </w:r>
      <w:r>
        <w:rPr>
          <w:sz w:val="24"/>
          <w:szCs w:val="24"/>
          <w:lang w:val="en-GB"/>
        </w:rPr>
        <w:t xml:space="preserve"> with medium- or high-risk areas after the issuance of this document, in principle, the subsidy </w:t>
      </w:r>
      <w:r>
        <w:rPr>
          <w:rFonts w:hint="eastAsia"/>
          <w:sz w:val="24"/>
          <w:szCs w:val="24"/>
          <w:lang w:val="en-GB"/>
        </w:rPr>
        <w:t>shall</w:t>
      </w:r>
      <w:r>
        <w:rPr>
          <w:sz w:val="24"/>
          <w:szCs w:val="24"/>
          <w:lang w:val="en-GB"/>
        </w:rPr>
        <w:t xml:space="preserve"> be issued within one month after</w:t>
      </w:r>
      <w:bookmarkStart w:id="1" w:name="OLE_LINK6"/>
      <w:r>
        <w:rPr>
          <w:rFonts w:hint="eastAsia"/>
          <w:sz w:val="24"/>
          <w:szCs w:val="24"/>
          <w:lang w:val="en-GB"/>
        </w:rPr>
        <w:t xml:space="preserve"> the date when</w:t>
      </w:r>
      <w:r>
        <w:rPr>
          <w:sz w:val="24"/>
          <w:szCs w:val="24"/>
          <w:lang w:val="en-GB"/>
        </w:rPr>
        <w:t xml:space="preserve"> </w:t>
      </w:r>
      <w:r>
        <w:rPr>
          <w:rFonts w:hint="eastAsia"/>
          <w:sz w:val="24"/>
          <w:szCs w:val="24"/>
          <w:lang w:val="en-GB"/>
        </w:rPr>
        <w:t xml:space="preserve">relevant </w:t>
      </w:r>
      <w:r>
        <w:rPr>
          <w:sz w:val="24"/>
          <w:szCs w:val="24"/>
          <w:lang w:val="en-GB"/>
        </w:rPr>
        <w:t>medium- or high-risk areas</w:t>
      </w:r>
      <w:bookmarkEnd w:id="1"/>
      <w:r>
        <w:rPr>
          <w:rFonts w:hint="eastAsia"/>
          <w:sz w:val="24"/>
          <w:szCs w:val="24"/>
          <w:lang w:val="en-GB"/>
        </w:rPr>
        <w:t xml:space="preserve"> are designated</w:t>
      </w:r>
      <w:r>
        <w:rPr>
          <w:sz w:val="24"/>
          <w:szCs w:val="24"/>
          <w:lang w:val="en-GB"/>
        </w:rPr>
        <w:t xml:space="preserve">; for </w:t>
      </w:r>
      <w:r>
        <w:rPr>
          <w:rFonts w:hint="eastAsia"/>
          <w:sz w:val="24"/>
          <w:szCs w:val="24"/>
          <w:lang w:val="en-GB"/>
        </w:rPr>
        <w:t>cities</w:t>
      </w:r>
      <w:r>
        <w:rPr>
          <w:sz w:val="24"/>
          <w:szCs w:val="24"/>
          <w:lang w:val="en-GB"/>
        </w:rPr>
        <w:t xml:space="preserve"> </w:t>
      </w:r>
      <w:r>
        <w:rPr>
          <w:rFonts w:hint="eastAsia"/>
          <w:sz w:val="24"/>
          <w:szCs w:val="24"/>
          <w:lang w:val="en-GB"/>
        </w:rPr>
        <w:t xml:space="preserve">at or </w:t>
      </w:r>
      <w:r>
        <w:rPr>
          <w:sz w:val="24"/>
          <w:szCs w:val="24"/>
          <w:lang w:val="en-GB"/>
        </w:rPr>
        <w:t>above the prefectur</w:t>
      </w:r>
      <w:r>
        <w:rPr>
          <w:rFonts w:hint="eastAsia"/>
          <w:sz w:val="24"/>
          <w:szCs w:val="24"/>
          <w:lang w:val="en-GB"/>
        </w:rPr>
        <w:t>al</w:t>
      </w:r>
      <w:r>
        <w:rPr>
          <w:sz w:val="24"/>
          <w:szCs w:val="24"/>
          <w:lang w:val="en-GB"/>
        </w:rPr>
        <w:t xml:space="preserve"> level with medium- or high-risk areas emerg</w:t>
      </w:r>
      <w:r>
        <w:rPr>
          <w:rFonts w:hint="eastAsia"/>
          <w:sz w:val="24"/>
          <w:szCs w:val="24"/>
          <w:lang w:val="en-US" w:eastAsia="zh-CN"/>
        </w:rPr>
        <w:t>ing</w:t>
      </w:r>
      <w:r>
        <w:rPr>
          <w:sz w:val="24"/>
          <w:szCs w:val="24"/>
          <w:lang w:val="en-GB"/>
        </w:rPr>
        <w:t xml:space="preserve"> in December 2022, the subsidy </w:t>
      </w:r>
      <w:r>
        <w:rPr>
          <w:rFonts w:hint="eastAsia"/>
          <w:sz w:val="24"/>
          <w:szCs w:val="24"/>
          <w:lang w:val="en-GB"/>
        </w:rPr>
        <w:t>shall</w:t>
      </w:r>
      <w:r>
        <w:rPr>
          <w:sz w:val="24"/>
          <w:szCs w:val="24"/>
          <w:lang w:val="en-GB"/>
        </w:rPr>
        <w:t xml:space="preserve"> be issued </w:t>
      </w:r>
      <w:r>
        <w:rPr>
          <w:rFonts w:hint="eastAsia"/>
          <w:sz w:val="24"/>
          <w:szCs w:val="24"/>
          <w:lang w:val="en-GB"/>
        </w:rPr>
        <w:t>before</w:t>
      </w:r>
      <w:r>
        <w:rPr>
          <w:sz w:val="24"/>
          <w:szCs w:val="24"/>
          <w:lang w:val="en-GB"/>
        </w:rPr>
        <w:t xml:space="preserve"> the end of January 2023.</w:t>
      </w:r>
    </w:p>
    <w:p>
      <w:pPr>
        <w:ind w:firstLine="482" w:firstLineChars="200"/>
        <w:rPr>
          <w:color w:val="000000" w:themeColor="text1"/>
          <w:kern w:val="0"/>
          <w:sz w:val="24"/>
          <w:szCs w:val="24"/>
          <w:lang w:val="en-GB"/>
          <w14:textFill>
            <w14:solidFill>
              <w14:schemeClr w14:val="tx1"/>
            </w14:solidFill>
          </w14:textFill>
        </w:rPr>
      </w:pPr>
      <w:r>
        <w:rPr>
          <w:b/>
          <w:sz w:val="24"/>
          <w:szCs w:val="24"/>
          <w:lang w:val="en-GB"/>
        </w:rPr>
        <w:t>(ii) No supporting documents are required.</w:t>
      </w:r>
      <w:r>
        <w:rPr>
          <w:rFonts w:hint="eastAsia"/>
          <w:b/>
          <w:sz w:val="24"/>
          <w:szCs w:val="24"/>
          <w:lang w:val="en-GB"/>
        </w:rPr>
        <w:t xml:space="preserve"> </w:t>
      </w:r>
      <w:r>
        <w:rPr>
          <w:sz w:val="24"/>
          <w:szCs w:val="24"/>
          <w:lang w:val="en-GB"/>
        </w:rPr>
        <w:t xml:space="preserve">The issuance of </w:t>
      </w:r>
      <w:r>
        <w:rPr>
          <w:rFonts w:hint="eastAsia"/>
          <w:sz w:val="24"/>
          <w:szCs w:val="24"/>
          <w:lang w:val="en-GB"/>
        </w:rPr>
        <w:t xml:space="preserve">the </w:t>
      </w:r>
      <w:r>
        <w:rPr>
          <w:sz w:val="24"/>
          <w:szCs w:val="24"/>
          <w:lang w:val="en-GB"/>
        </w:rPr>
        <w:t>subsidy does not require enterprises or units to provide any supporting documents, suc</w:t>
      </w:r>
      <w:bookmarkStart w:id="2" w:name="OLE_LINK1"/>
      <w:r>
        <w:rPr>
          <w:sz w:val="24"/>
          <w:szCs w:val="24"/>
          <w:lang w:val="en-GB"/>
        </w:rPr>
        <w:t>h as training plans, training certif</w:t>
      </w:r>
      <w:bookmarkEnd w:id="2"/>
      <w:r>
        <w:rPr>
          <w:sz w:val="24"/>
          <w:szCs w:val="24"/>
          <w:lang w:val="en-GB"/>
        </w:rPr>
        <w:t>icates, rosters of employees, and production and business situations.</w:t>
      </w:r>
    </w:p>
    <w:p>
      <w:pPr>
        <w:ind w:firstLine="482" w:firstLineChars="200"/>
        <w:rPr>
          <w:color w:val="000000" w:themeColor="text1"/>
          <w:kern w:val="0"/>
          <w:sz w:val="24"/>
          <w:szCs w:val="24"/>
          <w:lang w:val="en-GB"/>
          <w14:textFill>
            <w14:solidFill>
              <w14:schemeClr w14:val="tx1"/>
            </w14:solidFill>
          </w14:textFill>
        </w:rPr>
      </w:pPr>
      <w:r>
        <w:rPr>
          <w:b/>
          <w:sz w:val="24"/>
          <w:szCs w:val="24"/>
          <w:lang w:val="en-GB"/>
        </w:rPr>
        <w:t>(iii) Applying and claiming channels.</w:t>
      </w:r>
      <w:r>
        <w:rPr>
          <w:rFonts w:hint="eastAsia"/>
          <w:b/>
          <w:sz w:val="24"/>
          <w:szCs w:val="24"/>
          <w:lang w:val="en-GB"/>
        </w:rPr>
        <w:t xml:space="preserve"> </w:t>
      </w:r>
      <w:r>
        <w:rPr>
          <w:sz w:val="24"/>
          <w:szCs w:val="24"/>
          <w:lang w:val="en-GB"/>
        </w:rPr>
        <w:t>En</w:t>
      </w:r>
      <w:bookmarkStart w:id="3" w:name="OLE_LINK2"/>
      <w:r>
        <w:rPr>
          <w:sz w:val="24"/>
          <w:szCs w:val="24"/>
          <w:lang w:val="en-GB"/>
        </w:rPr>
        <w:t>terprises and units tha</w:t>
      </w:r>
      <w:bookmarkEnd w:id="3"/>
      <w:r>
        <w:rPr>
          <w:sz w:val="24"/>
          <w:szCs w:val="24"/>
          <w:lang w:val="en-GB"/>
        </w:rPr>
        <w:t xml:space="preserve">t are </w:t>
      </w:r>
      <w:r>
        <w:rPr>
          <w:rFonts w:hint="eastAsia"/>
          <w:sz w:val="24"/>
          <w:szCs w:val="24"/>
          <w:lang w:val="en-GB"/>
        </w:rPr>
        <w:t xml:space="preserve">eligible for </w:t>
      </w:r>
      <w:r>
        <w:rPr>
          <w:sz w:val="24"/>
          <w:szCs w:val="24"/>
          <w:lang w:val="en-GB"/>
        </w:rPr>
        <w:t xml:space="preserve">the subsidy and still have not received the subsidy after </w:t>
      </w:r>
      <w:r>
        <w:rPr>
          <w:rFonts w:hint="eastAsia"/>
          <w:sz w:val="24"/>
          <w:szCs w:val="24"/>
          <w:lang w:val="en-US" w:eastAsia="zh-CN"/>
        </w:rPr>
        <w:t>one</w:t>
      </w:r>
      <w:r>
        <w:rPr>
          <w:sz w:val="24"/>
          <w:szCs w:val="24"/>
          <w:lang w:val="en-GB"/>
        </w:rPr>
        <w:t xml:space="preserve"> month of the local issuance of the one-off </w:t>
      </w:r>
      <w:bookmarkStart w:id="4" w:name="OLE_LINK5"/>
      <w:r>
        <w:rPr>
          <w:rFonts w:hint="eastAsia"/>
          <w:sz w:val="24"/>
          <w:szCs w:val="24"/>
          <w:lang w:val="en-GB"/>
        </w:rPr>
        <w:t xml:space="preserve">vocational </w:t>
      </w:r>
      <w:r>
        <w:rPr>
          <w:sz w:val="24"/>
          <w:szCs w:val="24"/>
          <w:lang w:val="en-GB"/>
        </w:rPr>
        <w:t>training</w:t>
      </w:r>
      <w:bookmarkEnd w:id="4"/>
      <w:r>
        <w:rPr>
          <w:sz w:val="24"/>
          <w:szCs w:val="24"/>
          <w:lang w:val="en-GB"/>
        </w:rPr>
        <w:t xml:space="preserve"> subsidy can </w:t>
      </w:r>
      <w:bookmarkStart w:id="5" w:name="OLE_LINK4"/>
      <w:r>
        <w:rPr>
          <w:sz w:val="24"/>
          <w:szCs w:val="24"/>
          <w:lang w:val="en-GB"/>
        </w:rPr>
        <w:t xml:space="preserve">log </w:t>
      </w:r>
      <w:r>
        <w:rPr>
          <w:rFonts w:hint="eastAsia"/>
          <w:sz w:val="24"/>
          <w:szCs w:val="24"/>
          <w:lang w:val="en-GB"/>
        </w:rPr>
        <w:t>onto</w:t>
      </w:r>
      <w:r>
        <w:rPr>
          <w:sz w:val="24"/>
          <w:szCs w:val="24"/>
          <w:lang w:val="en-GB"/>
        </w:rPr>
        <w:t xml:space="preserve"> </w:t>
      </w:r>
      <w:bookmarkEnd w:id="5"/>
      <w:r>
        <w:rPr>
          <w:sz w:val="24"/>
          <w:szCs w:val="24"/>
          <w:lang w:val="en-GB"/>
        </w:rPr>
        <w:t xml:space="preserve">the provincial government service platform or go to the local social </w:t>
      </w:r>
      <w:r>
        <w:rPr>
          <w:rFonts w:hint="eastAsia"/>
          <w:sz w:val="24"/>
          <w:szCs w:val="24"/>
          <w:lang w:val="en-GB"/>
        </w:rPr>
        <w:t>security</w:t>
      </w:r>
      <w:r>
        <w:rPr>
          <w:sz w:val="24"/>
          <w:szCs w:val="24"/>
          <w:lang w:val="en-GB"/>
        </w:rPr>
        <w:t xml:space="preserve"> agency or human resources comprehensive service </w:t>
      </w:r>
      <w:r>
        <w:rPr>
          <w:rFonts w:hint="eastAsia"/>
          <w:sz w:val="24"/>
          <w:szCs w:val="24"/>
          <w:lang w:val="en-GB"/>
        </w:rPr>
        <w:t>centre</w:t>
      </w:r>
      <w:r>
        <w:rPr>
          <w:sz w:val="24"/>
          <w:szCs w:val="24"/>
          <w:lang w:val="en-GB"/>
        </w:rPr>
        <w:t xml:space="preserve">, to fill in the relevant information and submit the subsidy application, which will be examined and issued by the local social security agency within </w:t>
      </w:r>
      <w:r>
        <w:rPr>
          <w:rFonts w:hint="eastAsia"/>
          <w:sz w:val="24"/>
          <w:szCs w:val="24"/>
          <w:lang w:val="en-US" w:eastAsia="zh-CN"/>
        </w:rPr>
        <w:t>one</w:t>
      </w:r>
      <w:r>
        <w:rPr>
          <w:sz w:val="24"/>
          <w:szCs w:val="24"/>
          <w:lang w:val="en-GB"/>
        </w:rPr>
        <w:t xml:space="preserve"> month.</w:t>
      </w:r>
    </w:p>
    <w:p>
      <w:pPr>
        <w:ind w:firstLine="482" w:firstLineChars="200"/>
        <w:rPr>
          <w:color w:val="000000" w:themeColor="text1"/>
          <w:kern w:val="0"/>
          <w:sz w:val="24"/>
          <w:szCs w:val="24"/>
          <w:lang w:val="en-GB"/>
          <w14:textFill>
            <w14:solidFill>
              <w14:schemeClr w14:val="tx1"/>
            </w14:solidFill>
          </w14:textFill>
        </w:rPr>
      </w:pPr>
      <w:r>
        <w:rPr>
          <w:b/>
          <w:sz w:val="24"/>
          <w:szCs w:val="24"/>
          <w:lang w:val="en-GB"/>
        </w:rPr>
        <w:t>(iv) Provisions for the number of subsid</w:t>
      </w:r>
      <w:r>
        <w:rPr>
          <w:rFonts w:hint="eastAsia"/>
          <w:b/>
          <w:sz w:val="24"/>
          <w:szCs w:val="24"/>
          <w:lang w:val="en-GB"/>
        </w:rPr>
        <w:t>y issuance</w:t>
      </w:r>
      <w:r>
        <w:rPr>
          <w:b/>
          <w:sz w:val="24"/>
          <w:szCs w:val="24"/>
          <w:lang w:val="en-GB"/>
        </w:rPr>
        <w:t>.</w:t>
      </w:r>
      <w:r>
        <w:rPr>
          <w:rFonts w:hint="eastAsia"/>
          <w:b/>
          <w:sz w:val="24"/>
          <w:szCs w:val="24"/>
          <w:lang w:val="en-GB"/>
        </w:rPr>
        <w:t xml:space="preserve"> </w:t>
      </w:r>
      <w:r>
        <w:rPr>
          <w:sz w:val="24"/>
          <w:szCs w:val="24"/>
          <w:lang w:val="en-GB"/>
        </w:rPr>
        <w:t xml:space="preserve">The same enterprise can only be entitled to </w:t>
      </w:r>
      <w:r>
        <w:rPr>
          <w:rFonts w:hint="eastAsia"/>
          <w:sz w:val="24"/>
          <w:szCs w:val="24"/>
          <w:lang w:val="en-GB"/>
        </w:rPr>
        <w:t xml:space="preserve">receiving the </w:t>
      </w:r>
      <w:r>
        <w:rPr>
          <w:sz w:val="24"/>
          <w:szCs w:val="24"/>
          <w:lang w:val="en-GB"/>
        </w:rPr>
        <w:t>subsidy</w:t>
      </w:r>
      <w:r>
        <w:rPr>
          <w:rFonts w:hint="eastAsia"/>
          <w:sz w:val="24"/>
          <w:szCs w:val="24"/>
          <w:lang w:val="en-GB"/>
        </w:rPr>
        <w:t xml:space="preserve"> for one time</w:t>
      </w:r>
      <w:r>
        <w:rPr>
          <w:sz w:val="24"/>
          <w:szCs w:val="24"/>
          <w:lang w:val="en-GB"/>
        </w:rPr>
        <w:t xml:space="preserve">, </w:t>
      </w:r>
      <w:r>
        <w:rPr>
          <w:rFonts w:hint="eastAsia"/>
          <w:sz w:val="24"/>
          <w:szCs w:val="24"/>
          <w:lang w:val="en-GB"/>
        </w:rPr>
        <w:t xml:space="preserve">the </w:t>
      </w:r>
      <w:r>
        <w:rPr>
          <w:sz w:val="24"/>
          <w:szCs w:val="24"/>
          <w:lang w:val="en-GB"/>
        </w:rPr>
        <w:t>amount</w:t>
      </w:r>
      <w:r>
        <w:rPr>
          <w:rFonts w:hint="eastAsia"/>
          <w:sz w:val="24"/>
          <w:szCs w:val="24"/>
          <w:lang w:val="en-GB"/>
        </w:rPr>
        <w:t xml:space="preserve"> of which</w:t>
      </w:r>
      <w:r>
        <w:rPr>
          <w:sz w:val="24"/>
          <w:szCs w:val="24"/>
          <w:lang w:val="en-GB"/>
        </w:rPr>
        <w:t xml:space="preserve"> is determined by the subsidy due at the time of the first designation of </w:t>
      </w:r>
      <w:bookmarkStart w:id="6" w:name="OLE_LINK8"/>
      <w:r>
        <w:rPr>
          <w:sz w:val="24"/>
          <w:szCs w:val="24"/>
          <w:lang w:val="en-GB"/>
        </w:rPr>
        <w:t>medium- or high-risk areas</w:t>
      </w:r>
      <w:bookmarkEnd w:id="6"/>
      <w:r>
        <w:rPr>
          <w:sz w:val="24"/>
          <w:szCs w:val="24"/>
          <w:lang w:val="en-GB"/>
        </w:rPr>
        <w:t>.</w:t>
      </w:r>
      <w:r>
        <w:rPr>
          <w:rFonts w:hint="eastAsia"/>
          <w:sz w:val="24"/>
          <w:szCs w:val="24"/>
          <w:lang w:val="en-GB"/>
        </w:rPr>
        <w:t xml:space="preserve"> </w:t>
      </w:r>
      <w:r>
        <w:rPr>
          <w:sz w:val="24"/>
          <w:szCs w:val="24"/>
          <w:lang w:val="en-GB"/>
        </w:rPr>
        <w:t>Those who are eligible are also entitled to the unemployment insurance rebate and deferred payment of unemployment insurance premiums.</w:t>
      </w:r>
    </w:p>
    <w:p>
      <w:pPr>
        <w:ind w:firstLine="482" w:firstLineChars="200"/>
        <w:rPr>
          <w:color w:val="000000" w:themeColor="text1"/>
          <w:kern w:val="0"/>
          <w:sz w:val="24"/>
          <w:szCs w:val="24"/>
          <w:lang w:val="en-GB"/>
          <w14:textFill>
            <w14:solidFill>
              <w14:schemeClr w14:val="tx1"/>
            </w14:solidFill>
          </w14:textFill>
        </w:rPr>
      </w:pPr>
      <w:r>
        <w:rPr>
          <w:b/>
          <w:sz w:val="24"/>
          <w:szCs w:val="24"/>
          <w:lang w:val="en-GB"/>
        </w:rPr>
        <w:t>(v) Provisions for the number of relief initiation.</w:t>
      </w:r>
      <w:r>
        <w:rPr>
          <w:rFonts w:hint="eastAsia"/>
          <w:b/>
          <w:sz w:val="24"/>
          <w:szCs w:val="24"/>
          <w:lang w:val="en-GB"/>
        </w:rPr>
        <w:t xml:space="preserve"> </w:t>
      </w:r>
      <w:r>
        <w:rPr>
          <w:sz w:val="24"/>
          <w:szCs w:val="24"/>
          <w:lang w:val="en-GB"/>
        </w:rPr>
        <w:t xml:space="preserve">Where there are two or more medium- or high-risk areas in </w:t>
      </w:r>
      <w:r>
        <w:rPr>
          <w:rFonts w:hint="eastAsia"/>
          <w:sz w:val="24"/>
          <w:szCs w:val="24"/>
          <w:lang w:val="en-GB"/>
        </w:rPr>
        <w:t>cities</w:t>
      </w:r>
      <w:r>
        <w:rPr>
          <w:sz w:val="24"/>
          <w:szCs w:val="24"/>
          <w:lang w:val="en-GB"/>
        </w:rPr>
        <w:t xml:space="preserve"> at or above the prefectur</w:t>
      </w:r>
      <w:r>
        <w:rPr>
          <w:rFonts w:hint="eastAsia"/>
          <w:sz w:val="24"/>
          <w:szCs w:val="24"/>
          <w:lang w:val="en-GB"/>
        </w:rPr>
        <w:t>al</w:t>
      </w:r>
      <w:r>
        <w:rPr>
          <w:sz w:val="24"/>
          <w:szCs w:val="24"/>
          <w:lang w:val="en-GB"/>
        </w:rPr>
        <w:t xml:space="preserve"> level, the work of issuing the one-off </w:t>
      </w:r>
      <w:r>
        <w:rPr>
          <w:rFonts w:hint="eastAsia"/>
          <w:sz w:val="24"/>
          <w:szCs w:val="24"/>
          <w:lang w:val="en-GB"/>
        </w:rPr>
        <w:t xml:space="preserve">vocational </w:t>
      </w:r>
      <w:r>
        <w:rPr>
          <w:sz w:val="24"/>
          <w:szCs w:val="24"/>
          <w:lang w:val="en-GB"/>
        </w:rPr>
        <w:t xml:space="preserve">training subsidy may be initiated accordingly, and the subsidy may be issued to newly established </w:t>
      </w:r>
      <w:r>
        <w:rPr>
          <w:rFonts w:hint="eastAsia"/>
          <w:sz w:val="24"/>
          <w:szCs w:val="24"/>
          <w:lang w:val="en-US" w:eastAsia="zh-CN"/>
        </w:rPr>
        <w:t>M</w:t>
      </w:r>
      <w:r>
        <w:rPr>
          <w:sz w:val="24"/>
          <w:szCs w:val="24"/>
          <w:lang w:val="en-GB"/>
        </w:rPr>
        <w:t>SMEs and units after the previous medium- or high-risk areas have been put under normalized control.</w:t>
      </w:r>
    </w:p>
    <w:p>
      <w:pPr>
        <w:ind w:firstLine="482" w:firstLineChars="200"/>
        <w:rPr>
          <w:color w:val="000000" w:themeColor="text1"/>
          <w:kern w:val="0"/>
          <w:sz w:val="24"/>
          <w:szCs w:val="24"/>
          <w:lang w:val="en-GB"/>
          <w14:textFill>
            <w14:solidFill>
              <w14:schemeClr w14:val="tx1"/>
            </w14:solidFill>
          </w14:textFill>
        </w:rPr>
      </w:pPr>
      <w:r>
        <w:rPr>
          <w:b/>
          <w:sz w:val="24"/>
          <w:szCs w:val="24"/>
          <w:lang w:val="en-GB"/>
        </w:rPr>
        <w:t>(vi) Other requirements.</w:t>
      </w:r>
      <w:r>
        <w:rPr>
          <w:rFonts w:hint="eastAsia"/>
          <w:b/>
          <w:sz w:val="24"/>
          <w:szCs w:val="24"/>
          <w:lang w:val="en-GB"/>
        </w:rPr>
        <w:t xml:space="preserve"> </w:t>
      </w:r>
      <w:r>
        <w:rPr>
          <w:sz w:val="24"/>
          <w:szCs w:val="24"/>
          <w:lang w:val="en-GB"/>
        </w:rPr>
        <w:t xml:space="preserve">The implementation of the one-off </w:t>
      </w:r>
      <w:r>
        <w:rPr>
          <w:rFonts w:hint="eastAsia"/>
          <w:sz w:val="24"/>
          <w:szCs w:val="24"/>
          <w:lang w:val="en-GB"/>
        </w:rPr>
        <w:t xml:space="preserve">vocational </w:t>
      </w:r>
      <w:r>
        <w:rPr>
          <w:sz w:val="24"/>
          <w:szCs w:val="24"/>
          <w:lang w:val="en-GB"/>
        </w:rPr>
        <w:t xml:space="preserve">training subsidy is subject to the requirement of a </w:t>
      </w:r>
      <w:bookmarkStart w:id="7" w:name="OLE_LINK9"/>
      <w:r>
        <w:rPr>
          <w:sz w:val="24"/>
          <w:szCs w:val="24"/>
          <w:lang w:val="en-GB"/>
        </w:rPr>
        <w:t>two-year fund reserve period,</w:t>
      </w:r>
      <w:bookmarkEnd w:id="7"/>
      <w:r>
        <w:rPr>
          <w:sz w:val="24"/>
          <w:szCs w:val="24"/>
          <w:lang w:val="en-GB"/>
        </w:rPr>
        <w:t xml:space="preserve"> and the subsidy is </w:t>
      </w:r>
      <w:r>
        <w:rPr>
          <w:rFonts w:hint="eastAsia"/>
          <w:sz w:val="24"/>
          <w:szCs w:val="24"/>
          <w:lang w:val="en-GB"/>
        </w:rPr>
        <w:t>sourced</w:t>
      </w:r>
      <w:r>
        <w:rPr>
          <w:sz w:val="24"/>
          <w:szCs w:val="24"/>
          <w:lang w:val="en-GB"/>
        </w:rPr>
        <w:t xml:space="preserve"> from the unemployment insurance fund. </w:t>
      </w:r>
      <w:r>
        <w:rPr>
          <w:rFonts w:hint="eastAsia"/>
          <w:sz w:val="24"/>
          <w:szCs w:val="24"/>
          <w:lang w:val="en-GB"/>
        </w:rPr>
        <w:t>Cities</w:t>
      </w:r>
      <w:r>
        <w:rPr>
          <w:sz w:val="24"/>
          <w:szCs w:val="24"/>
          <w:lang w:val="en-GB"/>
        </w:rPr>
        <w:t xml:space="preserve"> at or above the prefectur</w:t>
      </w:r>
      <w:r>
        <w:rPr>
          <w:rFonts w:hint="eastAsia"/>
          <w:sz w:val="24"/>
          <w:szCs w:val="24"/>
          <w:lang w:val="en-GB"/>
        </w:rPr>
        <w:t>al</w:t>
      </w:r>
      <w:r>
        <w:rPr>
          <w:sz w:val="24"/>
          <w:szCs w:val="24"/>
          <w:lang w:val="en-GB"/>
        </w:rPr>
        <w:t xml:space="preserve"> level that have a reserve period of fewer than two years before the provincial overall planning of the unemployment insurance fund may issue </w:t>
      </w:r>
      <w:r>
        <w:rPr>
          <w:rFonts w:hint="eastAsia"/>
          <w:sz w:val="24"/>
          <w:szCs w:val="24"/>
          <w:lang w:val="en-GB"/>
        </w:rPr>
        <w:t>the</w:t>
      </w:r>
      <w:r>
        <w:rPr>
          <w:sz w:val="24"/>
          <w:szCs w:val="24"/>
          <w:lang w:val="en-GB"/>
        </w:rPr>
        <w:t xml:space="preserve"> subsidy after the reserve period has been met by the overall planning. After the overall planning, if the fund of </w:t>
      </w:r>
      <w:r>
        <w:rPr>
          <w:rFonts w:hint="eastAsia"/>
          <w:sz w:val="24"/>
          <w:szCs w:val="24"/>
          <w:lang w:val="en-GB"/>
        </w:rPr>
        <w:t>a city</w:t>
      </w:r>
      <w:r>
        <w:rPr>
          <w:sz w:val="24"/>
          <w:szCs w:val="24"/>
          <w:lang w:val="en-GB"/>
        </w:rPr>
        <w:t xml:space="preserve"> at or above the prefectur</w:t>
      </w:r>
      <w:r>
        <w:rPr>
          <w:rFonts w:hint="eastAsia"/>
          <w:sz w:val="24"/>
          <w:szCs w:val="24"/>
          <w:lang w:val="en-GB"/>
        </w:rPr>
        <w:t>al</w:t>
      </w:r>
      <w:r>
        <w:rPr>
          <w:sz w:val="24"/>
          <w:szCs w:val="24"/>
          <w:lang w:val="en-GB"/>
        </w:rPr>
        <w:t xml:space="preserve"> level is insufficient to pay</w:t>
      </w:r>
      <w:r>
        <w:rPr>
          <w:rFonts w:hint="eastAsia"/>
          <w:sz w:val="24"/>
          <w:szCs w:val="24"/>
          <w:lang w:val="en-GB"/>
        </w:rPr>
        <w:t xml:space="preserve"> the subsidy</w:t>
      </w:r>
      <w:r>
        <w:rPr>
          <w:sz w:val="24"/>
          <w:szCs w:val="24"/>
          <w:lang w:val="en-GB"/>
        </w:rPr>
        <w:t>, it may apply to the provinc</w:t>
      </w:r>
      <w:r>
        <w:rPr>
          <w:rFonts w:hint="eastAsia"/>
          <w:sz w:val="24"/>
          <w:szCs w:val="24"/>
          <w:lang w:val="en-GB"/>
        </w:rPr>
        <w:t xml:space="preserve">ial-level authorities </w:t>
      </w:r>
      <w:r>
        <w:rPr>
          <w:sz w:val="24"/>
          <w:szCs w:val="24"/>
          <w:lang w:val="en-GB"/>
        </w:rPr>
        <w:t>for fund allocation in accordance with the regulations.</w:t>
      </w:r>
    </w:p>
    <w:p>
      <w:pPr>
        <w:rPr>
          <w:color w:val="000000" w:themeColor="text1"/>
          <w:sz w:val="24"/>
          <w:szCs w:val="24"/>
          <w:lang w:val="en-GB"/>
          <w14:textFill>
            <w14:solidFill>
              <w14:schemeClr w14:val="tx1"/>
            </w14:solidFill>
          </w14:textFill>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OWI0OTZjMWFhZDhlNjdiNGI1N2U5MzRkNGU5ZDgifQ=="/>
  </w:docVars>
  <w:rsids>
    <w:rsidRoot w:val="2FE05BA1"/>
    <w:rsid w:val="000561C7"/>
    <w:rsid w:val="00340CAC"/>
    <w:rsid w:val="00503F30"/>
    <w:rsid w:val="006C62C3"/>
    <w:rsid w:val="00717EA2"/>
    <w:rsid w:val="007A654C"/>
    <w:rsid w:val="007C7C1F"/>
    <w:rsid w:val="00826ADB"/>
    <w:rsid w:val="009B41B0"/>
    <w:rsid w:val="009E4D87"/>
    <w:rsid w:val="00BD70B6"/>
    <w:rsid w:val="00C35FEE"/>
    <w:rsid w:val="00F259BE"/>
    <w:rsid w:val="00F72FFA"/>
    <w:rsid w:val="0F1D2964"/>
    <w:rsid w:val="2FE05BA1"/>
    <w:rsid w:val="31BA17F6"/>
    <w:rsid w:val="324A6142"/>
    <w:rsid w:val="359947DE"/>
    <w:rsid w:val="4781449F"/>
    <w:rsid w:val="66040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Balloon Text"/>
    <w:basedOn w:val="1"/>
    <w:link w:val="10"/>
    <w:qFormat/>
    <w:uiPriority w:val="0"/>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customStyle="1" w:styleId="9">
    <w:name w:val="mqInternal"/>
    <w:unhideWhenUsed/>
    <w:uiPriority w:val="99"/>
    <w:rPr>
      <w:rFonts w:hint="default"/>
      <w:color w:val="800000"/>
      <w:sz w:val="20"/>
      <w:szCs w:val="24"/>
    </w:rPr>
  </w:style>
  <w:style w:type="character" w:customStyle="1" w:styleId="10">
    <w:name w:val="批注框文本 Char"/>
    <w:basedOn w:val="8"/>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1389</Words>
  <Characters>7399</Characters>
  <Lines>61</Lines>
  <Paragraphs>17</Paragraphs>
  <TotalTime>21</TotalTime>
  <ScaleCrop>false</ScaleCrop>
  <LinksUpToDate>false</LinksUpToDate>
  <CharactersWithSpaces>8723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2022-05-26T08:01:00Z</dcterms:created>
  <dc:creator>黎妙娟</dc:creator>
  <cp:lastModifiedBy>尹萌萌</cp:lastModifiedBy>
  <dcterms:modified xsi:type="dcterms:W3CDTF">2023-01-10T09:20:08Z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113DC4159DF244B798D5C4D4A30D9372</vt:lpwstr>
  </property>
</Properties>
</file>