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hd w:val="clear" w:color="auto" w:fill="FFFFFF"/>
        <w:spacing w:before="0" w:beforeAutospacing="0" w:after="0" w:afterAutospacing="0" w:line="560" w:lineRule="exact"/>
        <w:jc w:val="left"/>
        <w:rPr>
          <w:rFonts w:hint="eastAsia" w:ascii="方正小标宋简体" w:hAnsi="方正小标宋简体" w:eastAsia="方正小标宋简体" w:cs="方正小标宋简体"/>
          <w:b w:val="0"/>
          <w:bCs w:val="0"/>
          <w:color w:val="333333"/>
          <w:w w:val="98"/>
          <w:sz w:val="32"/>
          <w:szCs w:val="32"/>
          <w:lang w:eastAsia="zh-CN"/>
        </w:rPr>
      </w:pPr>
      <w:bookmarkStart w:id="0" w:name="_GoBack"/>
      <w:bookmarkEnd w:id="0"/>
      <w:r>
        <w:rPr>
          <w:rFonts w:hint="eastAsia" w:ascii="方正小标宋简体" w:hAnsi="方正小标宋简体" w:eastAsia="方正小标宋简体" w:cs="方正小标宋简体"/>
          <w:b w:val="0"/>
          <w:bCs w:val="0"/>
          <w:color w:val="333333"/>
          <w:w w:val="98"/>
          <w:sz w:val="32"/>
          <w:szCs w:val="32"/>
          <w:lang w:eastAsia="zh-CN"/>
        </w:rPr>
        <w:t>附件</w:t>
      </w:r>
    </w:p>
    <w:p>
      <w:pPr>
        <w:pStyle w:val="5"/>
        <w:widowControl w:val="0"/>
        <w:shd w:val="clear" w:color="auto" w:fill="FFFFFF"/>
        <w:spacing w:before="0" w:beforeAutospacing="0" w:after="0" w:afterAutospacing="0" w:line="560" w:lineRule="exact"/>
        <w:jc w:val="left"/>
        <w:rPr>
          <w:rFonts w:hint="eastAsia" w:ascii="方正小标宋简体" w:hAnsi="方正小标宋简体" w:eastAsia="方正小标宋简体" w:cs="方正小标宋简体"/>
          <w:b w:val="0"/>
          <w:bCs w:val="0"/>
          <w:color w:val="333333"/>
          <w:w w:val="98"/>
          <w:sz w:val="32"/>
          <w:szCs w:val="32"/>
          <w:lang w:eastAsia="zh-CN"/>
        </w:rPr>
      </w:pPr>
    </w:p>
    <w:p>
      <w:pPr>
        <w:pStyle w:val="5"/>
        <w:widowControl w:val="0"/>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 w:val="0"/>
          <w:bCs w:val="0"/>
          <w:color w:val="333333"/>
          <w:w w:val="98"/>
          <w:kern w:val="0"/>
          <w:sz w:val="44"/>
          <w:szCs w:val="44"/>
        </w:rPr>
      </w:pPr>
      <w:r>
        <w:rPr>
          <w:rFonts w:hint="eastAsia" w:ascii="方正小标宋简体" w:hAnsi="方正小标宋简体" w:eastAsia="方正小标宋简体" w:cs="方正小标宋简体"/>
          <w:b w:val="0"/>
          <w:bCs w:val="0"/>
          <w:color w:val="333333"/>
          <w:w w:val="98"/>
          <w:sz w:val="44"/>
          <w:szCs w:val="44"/>
        </w:rPr>
        <w:t>广州市气象防雷安全单位雷电风险</w:t>
      </w:r>
      <w:r>
        <w:rPr>
          <w:rFonts w:hint="eastAsia" w:ascii="方正小标宋简体" w:hAnsi="方正小标宋简体" w:eastAsia="方正小标宋简体" w:cs="方正小标宋简体"/>
          <w:b w:val="0"/>
          <w:bCs w:val="0"/>
          <w:color w:val="333333"/>
          <w:w w:val="98"/>
          <w:kern w:val="0"/>
          <w:sz w:val="44"/>
          <w:szCs w:val="44"/>
        </w:rPr>
        <w:t>分级管控</w:t>
      </w:r>
    </w:p>
    <w:p>
      <w:pPr>
        <w:pStyle w:val="5"/>
        <w:widowControl w:val="0"/>
        <w:shd w:val="clear" w:color="auto" w:fill="FFFFFF"/>
        <w:spacing w:before="0" w:beforeAutospacing="0" w:after="0" w:afterAutospacing="0" w:line="560" w:lineRule="exact"/>
        <w:jc w:val="center"/>
        <w:rPr>
          <w:rFonts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kern w:val="0"/>
          <w:sz w:val="44"/>
          <w:szCs w:val="44"/>
        </w:rPr>
        <w:t>实施细则（试行）</w:t>
      </w:r>
    </w:p>
    <w:p>
      <w:pPr>
        <w:pStyle w:val="5"/>
        <w:widowControl w:val="0"/>
        <w:shd w:val="clear" w:color="auto" w:fill="FFFFFF"/>
        <w:spacing w:before="0" w:beforeAutospacing="0" w:after="0" w:afterAutospacing="0" w:line="560" w:lineRule="exact"/>
        <w:jc w:val="center"/>
        <w:rPr>
          <w:rFonts w:hint="eastAsia" w:ascii="黑体" w:hAnsi="黑体" w:eastAsia="黑体" w:cs="黑体"/>
          <w:color w:val="333333"/>
          <w:sz w:val="32"/>
          <w:szCs w:val="32"/>
        </w:rPr>
      </w:pPr>
    </w:p>
    <w:p>
      <w:pPr>
        <w:pStyle w:val="5"/>
        <w:widowControl w:val="0"/>
        <w:shd w:val="clear" w:color="auto" w:fill="FFFFFF"/>
        <w:spacing w:before="0" w:beforeAutospacing="0" w:after="0" w:afterAutospacing="0" w:line="560" w:lineRule="exact"/>
        <w:jc w:val="center"/>
        <w:rPr>
          <w:rFonts w:ascii="黑体" w:hAnsi="黑体" w:eastAsia="黑体" w:cs="黑体"/>
          <w:color w:val="333333"/>
          <w:sz w:val="32"/>
          <w:szCs w:val="32"/>
        </w:rPr>
      </w:pPr>
      <w:r>
        <w:rPr>
          <w:rFonts w:hint="eastAsia" w:ascii="黑体" w:hAnsi="黑体" w:eastAsia="黑体" w:cs="黑体"/>
          <w:color w:val="333333"/>
          <w:sz w:val="32"/>
          <w:szCs w:val="32"/>
        </w:rPr>
        <w:t>第一章  总 则</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第一条</w:t>
      </w:r>
      <w:r>
        <w:rPr>
          <w:rFonts w:hint="eastAsia" w:ascii="仿宋_GB2312" w:hAnsi="仿宋_GB2312" w:eastAsia="仿宋_GB2312" w:cs="仿宋_GB2312"/>
          <w:color w:val="333333"/>
          <w:kern w:val="0"/>
          <w:sz w:val="32"/>
          <w:szCs w:val="32"/>
        </w:rPr>
        <w:t xml:space="preserve"> 为深入贯彻习近平总书记关于安全生产和防范化解重大风险重要论述精神，建立健全雷电安全风险分级管控机制，增强雷电灾害防御工作精准性，有效防范雷电灾害事故，保障人民生命财产安全，依据《气象灾害防御条例》《广东省气象灾害防御条例》《广东省气象灾害防御重点单位气象安全管理办法》《广州市气象灾害防御规定》《防雷减灾管理办法》等法律、法规、规章和《广州市应急管理局关于安全风险分级管控实施细则（试行）》（穗应急规〔2020〕1号）等有关规定和要求，制定本细则。</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第二条</w:t>
      </w:r>
      <w:r>
        <w:rPr>
          <w:rFonts w:hint="eastAsia" w:ascii="仿宋_GB2312" w:hAnsi="仿宋_GB2312" w:eastAsia="仿宋_GB2312" w:cs="仿宋_GB2312"/>
          <w:color w:val="333333"/>
          <w:kern w:val="0"/>
          <w:sz w:val="32"/>
          <w:szCs w:val="32"/>
        </w:rPr>
        <w:t xml:space="preserve">  广州市行政区域内气象防雷安全单位开展雷电风险分级管控，适用本细则。</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本细则所称的气象防雷安全单位是指：</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（一）油库、气库、弹药库、化学品仓库和烟花爆竹、石化等易燃易爆建设工程和场所；</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（二）雷电易发区内的矿区、旅游景点或者投入使用的建（构）筑物、设施等需要单独安装雷电防护装置的场所；</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（三）雷电风险高且没有防雷标准规范、需要进行特殊论证的大型项目。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第三条</w:t>
      </w:r>
      <w:r>
        <w:rPr>
          <w:rFonts w:hint="eastAsia" w:ascii="仿宋_GB2312" w:hAnsi="仿宋_GB2312" w:eastAsia="仿宋_GB2312" w:cs="仿宋_GB2312"/>
          <w:color w:val="333333"/>
          <w:kern w:val="0"/>
          <w:sz w:val="32"/>
          <w:szCs w:val="32"/>
        </w:rPr>
        <w:t xml:space="preserve">  本细则所称雷电风险特指由雷电灾害可能造成的人员伤亡、火灾、爆炸或电气、电子系统等损毁，引发人身伤害、健康损害、财产损失或环境危害的组合。</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因气象防雷安全单位违反雷电防御的国家标准、行业标准造成管理上的缺陷、人的不安全行为、物的危险状态，依法应当认定为事故隐患予以排查治理。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雷电风险管控是指气象防雷安全单位对本单位开展雷电风险识别与评估、风险分级管控、风险沟通并持续改进的动态过程。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第四条</w:t>
      </w:r>
      <w:r>
        <w:rPr>
          <w:rFonts w:hint="eastAsia" w:ascii="仿宋_GB2312" w:hAnsi="仿宋_GB2312" w:eastAsia="仿宋_GB2312" w:cs="仿宋_GB2312"/>
          <w:color w:val="333333"/>
          <w:kern w:val="0"/>
          <w:sz w:val="32"/>
          <w:szCs w:val="32"/>
        </w:rPr>
        <w:t xml:space="preserve">  气象防雷安全单位是雷电风险管控的责任主体。市、区两级气象主管机构负责构建雷电风险管控机制，并对雷电风险管控实施监督管理，组织、推动和实施本行政区域雷电风险管控工作。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第五条</w:t>
      </w:r>
      <w:r>
        <w:rPr>
          <w:rFonts w:hint="eastAsia" w:ascii="仿宋_GB2312" w:hAnsi="仿宋_GB2312" w:eastAsia="仿宋_GB2312" w:cs="仿宋_GB2312"/>
          <w:color w:val="333333"/>
          <w:kern w:val="0"/>
          <w:sz w:val="32"/>
          <w:szCs w:val="32"/>
        </w:rPr>
        <w:t xml:space="preserve">  本细则所称雷电风险分级是根据气象防雷安全单位雷电防护装置所处的场所、部位对比风险分析结果，确定风险等级的过程。雷电风险等级从高到低划分为重大风险、较大风险和一般风险，分别用红、橙、黄三种颜色标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气象防雷安全单位应当根据发生雷电事故的可能性和后果严重程度等因素研判各个场所和部位的风险等级。</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第六条</w:t>
      </w:r>
      <w:r>
        <w:rPr>
          <w:rFonts w:hint="eastAsia" w:ascii="仿宋_GB2312" w:hAnsi="仿宋_GB2312" w:eastAsia="仿宋_GB2312" w:cs="仿宋_GB2312"/>
          <w:color w:val="333333"/>
          <w:kern w:val="0"/>
          <w:sz w:val="32"/>
          <w:szCs w:val="32"/>
        </w:rPr>
        <w:t xml:space="preserve">  气象防雷安全单位雷电风险管控的场所和部位主要包括：</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（一）接闪装置；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（二）引下线装置；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（三）接地装置；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（四）防电磁脉冲装置；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（五）安全距离管控。</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第七条</w:t>
      </w:r>
      <w:r>
        <w:rPr>
          <w:rFonts w:hint="eastAsia" w:ascii="仿宋_GB2312" w:hAnsi="仿宋_GB2312" w:eastAsia="仿宋_GB2312" w:cs="仿宋_GB2312"/>
          <w:color w:val="333333"/>
          <w:kern w:val="0"/>
          <w:sz w:val="32"/>
          <w:szCs w:val="32"/>
        </w:rPr>
        <w:t xml:space="preserve">  雷电风险管控坚持源头防范、全员参与、分级管控、动态管理原则，构建由政府领导、部门监管、气象防雷安全单位落实责任、社会有序参与的工作格局。</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第八条</w:t>
      </w:r>
      <w:r>
        <w:rPr>
          <w:rFonts w:hint="eastAsia" w:ascii="仿宋_GB2312" w:hAnsi="仿宋_GB2312" w:eastAsia="仿宋_GB2312" w:cs="仿宋_GB2312"/>
          <w:color w:val="333333"/>
          <w:kern w:val="0"/>
          <w:sz w:val="32"/>
          <w:szCs w:val="32"/>
        </w:rPr>
        <w:t xml:space="preserve">  鼓励、支持和利用社会组织、技术服务机构、科研院校等参与雷电风险管控工作。</w:t>
      </w:r>
    </w:p>
    <w:p>
      <w:pPr>
        <w:shd w:val="clear" w:color="auto" w:fill="FFFFFF"/>
        <w:spacing w:line="560" w:lineRule="exact"/>
        <w:ind w:firstLine="640" w:firstLineChars="200"/>
        <w:textAlignment w:val="baseline"/>
        <w:outlineLvl w:val="0"/>
        <w:rPr>
          <w:rFonts w:ascii="仿宋_GB2312" w:hAnsi="仿宋_GB2312" w:eastAsia="仿宋_GB2312" w:cs="仿宋_GB2312"/>
          <w:color w:val="333333"/>
          <w:kern w:val="0"/>
          <w:sz w:val="32"/>
          <w:szCs w:val="32"/>
        </w:rPr>
      </w:pPr>
    </w:p>
    <w:p>
      <w:pPr>
        <w:pStyle w:val="5"/>
        <w:widowControl w:val="0"/>
        <w:shd w:val="clear" w:color="auto" w:fill="FFFFFF"/>
        <w:spacing w:before="0" w:beforeAutospacing="0" w:after="0" w:afterAutospacing="0" w:line="560" w:lineRule="exact"/>
        <w:jc w:val="center"/>
        <w:rPr>
          <w:rFonts w:ascii="黑体" w:hAnsi="黑体" w:eastAsia="黑体" w:cs="黑体"/>
          <w:color w:val="333333"/>
          <w:sz w:val="32"/>
          <w:szCs w:val="32"/>
        </w:rPr>
      </w:pPr>
      <w:r>
        <w:rPr>
          <w:rFonts w:hint="eastAsia" w:ascii="黑体" w:hAnsi="黑体" w:eastAsia="黑体" w:cs="黑体"/>
          <w:color w:val="333333"/>
          <w:sz w:val="32"/>
          <w:szCs w:val="32"/>
        </w:rPr>
        <w:t xml:space="preserve">第二章  </w:t>
      </w:r>
      <w:r>
        <w:rPr>
          <w:rFonts w:hint="eastAsia" w:ascii="黑体" w:hAnsi="黑体" w:eastAsia="黑体" w:cs="黑体"/>
          <w:color w:val="auto"/>
          <w:sz w:val="32"/>
          <w:szCs w:val="32"/>
        </w:rPr>
        <w:t>气象防</w:t>
      </w:r>
      <w:r>
        <w:rPr>
          <w:rFonts w:hint="eastAsia" w:ascii="黑体" w:hAnsi="黑体" w:eastAsia="黑体" w:cs="黑体"/>
          <w:color w:val="333333"/>
          <w:sz w:val="32"/>
          <w:szCs w:val="32"/>
        </w:rPr>
        <w:t>雷安全单位雷电风险管控</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第九条</w:t>
      </w:r>
      <w:r>
        <w:rPr>
          <w:rFonts w:hint="eastAsia" w:ascii="仿宋_GB2312" w:hAnsi="仿宋_GB2312" w:eastAsia="仿宋_GB2312" w:cs="仿宋_GB2312"/>
          <w:color w:val="333333"/>
          <w:kern w:val="0"/>
          <w:sz w:val="32"/>
          <w:szCs w:val="32"/>
        </w:rPr>
        <w:t xml:space="preserve">  气象防雷安全单位应当建立健全雷电风险管控制度，建立和定期更新雷电风险点清单，绘制风险点分布电子图，明确每个部位雷电风险等级、责任部门、责任人和管控状态，并以此设置明显的雷电风险点安全警示标志，制作雷电风险告知卡和公告栏，定期组织</w:t>
      </w:r>
      <w:r>
        <w:rPr>
          <w:rFonts w:hint="eastAsia" w:ascii="仿宋_GB2312" w:hAnsi="仿宋_GB2312" w:eastAsia="仿宋_GB2312" w:cs="仿宋_GB2312"/>
          <w:color w:val="333333"/>
          <w:kern w:val="0"/>
          <w:sz w:val="32"/>
          <w:szCs w:val="32"/>
          <w:lang w:val="en-US" w:eastAsia="zh-CN"/>
        </w:rPr>
        <w:t>雷电</w:t>
      </w:r>
      <w:r>
        <w:rPr>
          <w:rFonts w:hint="eastAsia" w:ascii="仿宋_GB2312" w:hAnsi="仿宋_GB2312" w:eastAsia="仿宋_GB2312" w:cs="仿宋_GB2312"/>
          <w:color w:val="333333"/>
          <w:kern w:val="0"/>
          <w:sz w:val="32"/>
          <w:szCs w:val="32"/>
        </w:rPr>
        <w:t>风险管控培训，确保雷电风险管控落实到位。</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kern w:val="0"/>
          <w:sz w:val="32"/>
          <w:szCs w:val="32"/>
        </w:rPr>
        <w:t>第十条</w:t>
      </w:r>
      <w:r>
        <w:rPr>
          <w:rFonts w:hint="eastAsia" w:ascii="仿宋_GB2312" w:hAnsi="仿宋_GB2312" w:eastAsia="仿宋_GB2312" w:cs="仿宋_GB2312"/>
          <w:color w:val="FF0000"/>
          <w:kern w:val="0"/>
          <w:sz w:val="32"/>
          <w:szCs w:val="32"/>
        </w:rPr>
        <w:t xml:space="preserve"> </w:t>
      </w:r>
      <w:r>
        <w:rPr>
          <w:rFonts w:hint="eastAsia" w:ascii="仿宋_GB2312" w:hAnsi="仿宋_GB2312" w:eastAsia="仿宋_GB2312" w:cs="仿宋_GB2312"/>
          <w:color w:val="333333"/>
          <w:kern w:val="0"/>
          <w:sz w:val="32"/>
          <w:szCs w:val="32"/>
        </w:rPr>
        <w:t xml:space="preserve"> 气象防雷安全单位的主要负责人是本单位雷电风险管控责任人，对本单位的雷电风险管控负全面责任。</w:t>
      </w:r>
    </w:p>
    <w:p>
      <w:pPr>
        <w:shd w:val="clear" w:color="auto" w:fill="FFFFFF"/>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气象防雷安全单位应当确定雷电风险联系人，并报当地气象主管机构。雷电风险联系人应当具备一定的雷电风险管理能力，联系人变更时，及时报告当地气象主管机构更新。其主要职责包括：</w:t>
      </w:r>
    </w:p>
    <w:p>
      <w:pPr>
        <w:shd w:val="clear" w:color="auto" w:fill="FFFFFF"/>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（一）负责组织制定本单位防雷工作制度；</w:t>
      </w:r>
    </w:p>
    <w:p>
      <w:pPr>
        <w:shd w:val="clear" w:color="auto" w:fill="FFFFFF"/>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（二）开展应急预案演练及雷电防护知识培训；</w:t>
      </w:r>
    </w:p>
    <w:p>
      <w:pPr>
        <w:shd w:val="clear" w:color="auto" w:fill="FFFFFF"/>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（三）接收和传达雷电预警信息，并保障接收和传播设施设备正常运行；</w:t>
      </w:r>
    </w:p>
    <w:p>
      <w:pPr>
        <w:shd w:val="clear" w:color="auto" w:fill="FFFFFF"/>
        <w:spacing w:line="560" w:lineRule="exact"/>
        <w:ind w:firstLine="640" w:firstLineChars="200"/>
        <w:textAlignment w:val="baseline"/>
        <w:outlineLvl w:val="0"/>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rPr>
        <w:t>（四）组织防雷安全巡查、隐患排查治理、雷电防护装置维护保养</w:t>
      </w:r>
      <w:r>
        <w:rPr>
          <w:rFonts w:hint="eastAsia" w:ascii="仿宋_GB2312" w:hAnsi="仿宋_GB2312" w:eastAsia="仿宋_GB2312" w:cs="仿宋_GB2312"/>
          <w:color w:val="333333"/>
          <w:kern w:val="0"/>
          <w:sz w:val="32"/>
          <w:szCs w:val="32"/>
          <w:lang w:val="en-US" w:eastAsia="zh-CN"/>
        </w:rPr>
        <w:t>；</w:t>
      </w:r>
    </w:p>
    <w:p>
      <w:pPr>
        <w:shd w:val="clear" w:color="auto" w:fill="FFFFFF"/>
        <w:spacing w:line="560" w:lineRule="exact"/>
        <w:ind w:firstLine="640" w:firstLineChars="200"/>
        <w:textAlignment w:val="baseline"/>
        <w:outlineLvl w:val="0"/>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（五）根据工作需要向气象主管机构报送情况。</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第十一条</w:t>
      </w:r>
      <w:r>
        <w:rPr>
          <w:rFonts w:hint="eastAsia" w:ascii="仿宋_GB2312" w:hAnsi="仿宋_GB2312" w:eastAsia="仿宋_GB2312" w:cs="仿宋_GB2312"/>
          <w:color w:val="333333"/>
          <w:kern w:val="0"/>
          <w:sz w:val="32"/>
          <w:szCs w:val="32"/>
        </w:rPr>
        <w:t xml:space="preserve">  气象防雷安全单位要及时主动委托有资质的雷电防护装置检测机构进行检测；检测结论为不合格的，应及时组织整改，直至符合要求。</w:t>
      </w:r>
    </w:p>
    <w:p>
      <w:pPr>
        <w:shd w:val="clear" w:color="auto" w:fill="FFFFFF"/>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气象防雷安全单位属</w:t>
      </w:r>
      <w:r>
        <w:rPr>
          <w:rFonts w:ascii="仿宋_GB2312" w:hAnsi="仿宋_GB2312" w:eastAsia="仿宋_GB2312" w:cs="仿宋_GB2312"/>
          <w:color w:val="333333"/>
          <w:kern w:val="0"/>
          <w:sz w:val="32"/>
          <w:szCs w:val="32"/>
        </w:rPr>
        <w:t>爆炸和火灾危险环境场所</w:t>
      </w:r>
      <w:r>
        <w:rPr>
          <w:rFonts w:hint="eastAsia" w:ascii="仿宋_GB2312" w:hAnsi="仿宋_GB2312" w:eastAsia="仿宋_GB2312" w:cs="仿宋_GB2312"/>
          <w:color w:val="333333"/>
          <w:kern w:val="0"/>
          <w:sz w:val="32"/>
          <w:szCs w:val="32"/>
        </w:rPr>
        <w:t>的，</w:t>
      </w:r>
      <w:r>
        <w:rPr>
          <w:rFonts w:ascii="仿宋_GB2312" w:hAnsi="仿宋_GB2312" w:eastAsia="仿宋_GB2312" w:cs="仿宋_GB2312"/>
          <w:color w:val="333333"/>
          <w:kern w:val="0"/>
          <w:sz w:val="32"/>
          <w:szCs w:val="32"/>
        </w:rPr>
        <w:t>每半年检测一次，其他</w:t>
      </w:r>
      <w:r>
        <w:rPr>
          <w:rFonts w:hint="eastAsia" w:ascii="仿宋_GB2312" w:hAnsi="仿宋_GB2312" w:eastAsia="仿宋_GB2312" w:cs="仿宋_GB2312"/>
          <w:color w:val="333333"/>
          <w:kern w:val="0"/>
          <w:sz w:val="32"/>
          <w:szCs w:val="32"/>
        </w:rPr>
        <w:t>气象防雷安全单位</w:t>
      </w:r>
      <w:r>
        <w:rPr>
          <w:rFonts w:ascii="仿宋_GB2312" w:hAnsi="仿宋_GB2312" w:eastAsia="仿宋_GB2312" w:cs="仿宋_GB2312"/>
          <w:color w:val="333333"/>
          <w:kern w:val="0"/>
          <w:sz w:val="32"/>
          <w:szCs w:val="32"/>
        </w:rPr>
        <w:t>每年检测一次</w:t>
      </w:r>
      <w:r>
        <w:rPr>
          <w:rFonts w:hint="eastAsia" w:ascii="仿宋_GB2312" w:hAnsi="仿宋_GB2312" w:eastAsia="仿宋_GB2312" w:cs="仿宋_GB2312"/>
          <w:color w:val="333333"/>
          <w:kern w:val="0"/>
          <w:sz w:val="32"/>
          <w:szCs w:val="32"/>
        </w:rPr>
        <w:t>，检测报告</w:t>
      </w:r>
      <w:r>
        <w:rPr>
          <w:rFonts w:ascii="仿宋_GB2312" w:hAnsi="仿宋_GB2312" w:eastAsia="仿宋_GB2312" w:cs="仿宋_GB2312"/>
          <w:color w:val="333333"/>
          <w:kern w:val="0"/>
          <w:sz w:val="32"/>
          <w:szCs w:val="32"/>
        </w:rPr>
        <w:t>实行可</w:t>
      </w:r>
      <w:r>
        <w:rPr>
          <w:rFonts w:hint="eastAsia" w:ascii="仿宋_GB2312" w:hAnsi="仿宋_GB2312" w:eastAsia="仿宋_GB2312" w:cs="仿宋_GB2312"/>
          <w:color w:val="333333"/>
          <w:kern w:val="0"/>
          <w:sz w:val="32"/>
          <w:szCs w:val="32"/>
        </w:rPr>
        <w:t>溯源</w:t>
      </w:r>
      <w:r>
        <w:rPr>
          <w:rFonts w:ascii="仿宋_GB2312" w:hAnsi="仿宋_GB2312" w:eastAsia="仿宋_GB2312" w:cs="仿宋_GB2312"/>
          <w:color w:val="333333"/>
          <w:kern w:val="0"/>
          <w:sz w:val="32"/>
          <w:szCs w:val="32"/>
        </w:rPr>
        <w:t>管理。</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第十二条</w:t>
      </w:r>
      <w:r>
        <w:rPr>
          <w:rFonts w:hint="eastAsia" w:ascii="仿宋_GB2312" w:hAnsi="仿宋_GB2312" w:eastAsia="仿宋_GB2312" w:cs="仿宋_GB2312"/>
          <w:color w:val="333333"/>
          <w:kern w:val="0"/>
          <w:sz w:val="32"/>
          <w:szCs w:val="32"/>
        </w:rPr>
        <w:t xml:space="preserve">  各类气象防雷安全单位应当针对本单位受雷电灾害发生的可能性、严重性等基本情况，对雷电引起的次生灾害等风险和危害，按照雷电防护行业标准规定，自行组织或者委托技术服务机构进行雷电风险点等级评估和研判。</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第十三条</w:t>
      </w:r>
      <w:r>
        <w:rPr>
          <w:rFonts w:hint="eastAsia" w:ascii="仿宋_GB2312" w:hAnsi="仿宋_GB2312" w:eastAsia="仿宋_GB2312" w:cs="仿宋_GB2312"/>
          <w:color w:val="333333"/>
          <w:kern w:val="0"/>
          <w:sz w:val="32"/>
          <w:szCs w:val="32"/>
        </w:rPr>
        <w:t xml:space="preserve">  气象防雷安全单位应当结合本单位的特点和内外安全形势，适时（如雷雨季节前、安全特别防护期、安全事故整顿期等）组织防雷安全巡查，每年至少安排1次专人对雷电防护装置进行维护保养。</w:t>
      </w:r>
    </w:p>
    <w:p>
      <w:pPr>
        <w:shd w:val="clear" w:color="auto" w:fill="FFFFFF"/>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巡查应当做好记录。记录内容应当包括巡查时间、巡查人员、巡查内容和部位、巡查结果及处置情况等，巡查记录由巡查人员签字确认。</w:t>
      </w:r>
    </w:p>
    <w:p>
      <w:pPr>
        <w:shd w:val="clear" w:color="auto" w:fill="FFFFFF"/>
        <w:spacing w:line="560" w:lineRule="exact"/>
        <w:ind w:firstLine="640"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雷电风险点是每次巡查和各类安全检查重点关注和必查对象。</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第十四条</w:t>
      </w:r>
      <w:r>
        <w:rPr>
          <w:rFonts w:hint="eastAsia" w:ascii="仿宋_GB2312" w:hAnsi="仿宋_GB2312" w:eastAsia="仿宋_GB2312" w:cs="仿宋_GB2312"/>
          <w:color w:val="333333"/>
          <w:kern w:val="0"/>
          <w:sz w:val="32"/>
          <w:szCs w:val="32"/>
        </w:rPr>
        <w:t xml:space="preserve">  气象防雷安全单位应当每年向属地气象主管机构报送雷电风险清单，内容包括：风险描述、风险等级、管控措施、责任单位及责任人等（</w:t>
      </w:r>
      <w:r>
        <w:rPr>
          <w:rFonts w:hint="eastAsia" w:ascii="仿宋_GB2312" w:hAnsi="仿宋_GB2312" w:eastAsia="仿宋_GB2312" w:cs="仿宋_GB2312"/>
          <w:color w:val="333333"/>
          <w:kern w:val="0"/>
          <w:sz w:val="32"/>
          <w:szCs w:val="32"/>
          <w:lang w:eastAsia="zh-CN"/>
        </w:rPr>
        <w:t>表</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）。存在重大风险的，应当立即报告管控情况、管控措施及效果（</w:t>
      </w:r>
      <w:r>
        <w:rPr>
          <w:rFonts w:hint="eastAsia" w:ascii="仿宋_GB2312" w:hAnsi="仿宋_GB2312" w:eastAsia="仿宋_GB2312" w:cs="仿宋_GB2312"/>
          <w:color w:val="333333"/>
          <w:kern w:val="0"/>
          <w:sz w:val="32"/>
          <w:szCs w:val="32"/>
          <w:lang w:eastAsia="zh-CN"/>
        </w:rPr>
        <w:t>表</w:t>
      </w:r>
      <w:r>
        <w:rPr>
          <w:rFonts w:hint="eastAsia" w:ascii="仿宋_GB2312" w:hAnsi="仿宋_GB2312" w:eastAsia="仿宋_GB2312" w:cs="仿宋_GB2312"/>
          <w:color w:val="333333"/>
          <w:kern w:val="0"/>
          <w:sz w:val="32"/>
          <w:szCs w:val="32"/>
          <w:lang w:val="en-US" w:eastAsia="zh-CN"/>
        </w:rPr>
        <w:t>2</w:t>
      </w:r>
      <w:r>
        <w:rPr>
          <w:rFonts w:hint="eastAsia" w:ascii="仿宋_GB2312" w:hAnsi="仿宋_GB2312" w:eastAsia="仿宋_GB2312" w:cs="仿宋_GB2312"/>
          <w:color w:val="333333"/>
          <w:kern w:val="0"/>
          <w:sz w:val="32"/>
          <w:szCs w:val="32"/>
        </w:rPr>
        <w:t>）。要合理控制存在重大风险作业场所的人员数量，对无法有效管控的重大风险，应当撤离现场作业人员及影响范围内的人员，划定禁区，防止重大风险失控引发事故。</w:t>
      </w:r>
    </w:p>
    <w:p>
      <w:pPr>
        <w:shd w:val="clear" w:color="auto" w:fill="FFFFFF"/>
        <w:spacing w:line="560" w:lineRule="exact"/>
        <w:ind w:firstLine="640" w:firstLineChars="200"/>
        <w:textAlignment w:val="baseline"/>
        <w:outlineLvl w:val="0"/>
        <w:rPr>
          <w:rFonts w:ascii="仿宋_GB2312" w:hAnsi="仿宋_GB2312" w:eastAsia="仿宋_GB2312" w:cs="仿宋_GB2312"/>
          <w:color w:val="333333"/>
          <w:kern w:val="0"/>
          <w:sz w:val="32"/>
          <w:szCs w:val="32"/>
        </w:rPr>
      </w:pPr>
    </w:p>
    <w:p>
      <w:pPr>
        <w:pStyle w:val="5"/>
        <w:widowControl w:val="0"/>
        <w:shd w:val="clear" w:color="auto" w:fill="FFFFFF"/>
        <w:spacing w:before="0" w:beforeAutospacing="0" w:after="0" w:afterAutospacing="0" w:line="560" w:lineRule="exact"/>
        <w:jc w:val="center"/>
        <w:rPr>
          <w:rFonts w:ascii="黑体" w:hAnsi="黑体" w:eastAsia="黑体" w:cs="黑体"/>
          <w:color w:val="333333"/>
          <w:sz w:val="32"/>
          <w:szCs w:val="32"/>
        </w:rPr>
      </w:pPr>
      <w:r>
        <w:rPr>
          <w:rFonts w:hint="eastAsia" w:ascii="黑体" w:hAnsi="黑体" w:eastAsia="黑体" w:cs="黑体"/>
          <w:color w:val="333333"/>
          <w:sz w:val="32"/>
          <w:szCs w:val="32"/>
        </w:rPr>
        <w:t>第三章  雷电风险管控的监督管理</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第十五条</w:t>
      </w:r>
      <w:r>
        <w:rPr>
          <w:rFonts w:hint="eastAsia" w:ascii="仿宋_GB2312" w:hAnsi="仿宋_GB2312" w:eastAsia="仿宋_GB2312" w:cs="仿宋_GB2312"/>
          <w:color w:val="333333"/>
          <w:kern w:val="0"/>
          <w:sz w:val="32"/>
          <w:szCs w:val="32"/>
        </w:rPr>
        <w:t xml:space="preserve">  各区气象局要按照属地管理原则，负责对本行政区域内的气象防雷安全单位进行监督管理（市防雷办负责越秀、天河、荔湾区），运用信息化手段提高防雷安全监管效能。</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第十六条</w:t>
      </w:r>
      <w:r>
        <w:rPr>
          <w:rFonts w:hint="eastAsia" w:ascii="仿宋_GB2312" w:hAnsi="仿宋_GB2312" w:eastAsia="仿宋_GB2312" w:cs="仿宋_GB2312"/>
          <w:color w:val="333333"/>
          <w:kern w:val="0"/>
          <w:sz w:val="32"/>
          <w:szCs w:val="32"/>
        </w:rPr>
        <w:t xml:space="preserve">  各区气象局（市防雷办）应当建立气象防雷安全单位信息库，内容包括单位名称、地址、雷电风险管控责任人、雷电风险应急管理人（或联系人）等。信息库内容应当根据单位反馈信息及时更新。气象防雷安全单位名录每年更新一次。</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第十七条</w:t>
      </w:r>
      <w:r>
        <w:rPr>
          <w:rFonts w:hint="eastAsia" w:ascii="仿宋_GB2312" w:hAnsi="仿宋_GB2312" w:eastAsia="仿宋_GB2312" w:cs="仿宋_GB2312"/>
          <w:color w:val="333333"/>
          <w:kern w:val="0"/>
          <w:sz w:val="32"/>
          <w:szCs w:val="32"/>
        </w:rPr>
        <w:t xml:space="preserve">  各区气象局（市防雷办）应当对气象防雷安全单位开展专项检查或者抽查，并对检查结果予以通报，建立雷电风险排查和风险治理台账，及时发现和消除雷电风险点隐患，落实“闭环”管理。</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第十八条</w:t>
      </w:r>
      <w:r>
        <w:rPr>
          <w:rFonts w:hint="eastAsia" w:ascii="仿宋_GB2312" w:hAnsi="仿宋_GB2312" w:eastAsia="仿宋_GB2312" w:cs="仿宋_GB2312"/>
          <w:color w:val="333333"/>
          <w:kern w:val="0"/>
          <w:sz w:val="32"/>
          <w:szCs w:val="32"/>
        </w:rPr>
        <w:t xml:space="preserve">  各区气象局（市防雷办）应当充分利用社会资源力量，广泛开展防雷减灾科普知识宣传，向气象防雷安全单位提供防雷减灾安全政策法规、标准规范、安全知识、安全技能等方面的咨询与服务，为气象防雷安全单位找准雷电风险点、危险源，并参与雷电危险因素排查和隐患整改。</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第十九条</w:t>
      </w:r>
      <w:r>
        <w:rPr>
          <w:rFonts w:hint="eastAsia" w:ascii="仿宋_GB2312" w:hAnsi="仿宋_GB2312" w:eastAsia="仿宋_GB2312" w:cs="仿宋_GB2312"/>
          <w:color w:val="333333"/>
          <w:kern w:val="0"/>
          <w:sz w:val="32"/>
          <w:szCs w:val="32"/>
        </w:rPr>
        <w:t xml:space="preserve">  各区气象局（市防雷办）应当加强与应急管理、市场监管等部门的沟通协调和工作联动，积极推进联合监管，对存在雷电重大风险且拒不落实整改的</w:t>
      </w:r>
      <w:r>
        <w:rPr>
          <w:rFonts w:hint="eastAsia" w:ascii="仿宋_GB2312" w:hAnsi="仿宋_GB2312" w:eastAsia="仿宋_GB2312" w:cs="仿宋_GB2312"/>
          <w:color w:val="auto"/>
          <w:kern w:val="0"/>
          <w:sz w:val="32"/>
          <w:szCs w:val="32"/>
        </w:rPr>
        <w:t>气象</w:t>
      </w:r>
      <w:r>
        <w:rPr>
          <w:rFonts w:hint="eastAsia" w:ascii="仿宋_GB2312" w:hAnsi="仿宋_GB2312" w:eastAsia="仿宋_GB2312" w:cs="仿宋_GB2312"/>
          <w:color w:val="333333"/>
          <w:kern w:val="0"/>
          <w:sz w:val="32"/>
          <w:szCs w:val="32"/>
        </w:rPr>
        <w:t>防雷安全单位提请相关部门纳入重大安全隐患治理挂牌督办。</w:t>
      </w:r>
    </w:p>
    <w:p>
      <w:pPr>
        <w:shd w:val="clear" w:color="auto" w:fill="FFFFFF"/>
        <w:spacing w:line="560" w:lineRule="exact"/>
        <w:ind w:firstLine="640" w:firstLineChars="200"/>
        <w:textAlignment w:val="baseline"/>
        <w:outlineLvl w:val="0"/>
        <w:rPr>
          <w:rFonts w:ascii="仿宋_GB2312" w:hAnsi="仿宋_GB2312" w:eastAsia="仿宋_GB2312" w:cs="仿宋_GB2312"/>
          <w:color w:val="333333"/>
          <w:kern w:val="0"/>
          <w:sz w:val="32"/>
          <w:szCs w:val="32"/>
        </w:rPr>
      </w:pPr>
    </w:p>
    <w:p>
      <w:pPr>
        <w:pStyle w:val="5"/>
        <w:widowControl w:val="0"/>
        <w:shd w:val="clear" w:color="auto" w:fill="FFFFFF"/>
        <w:spacing w:before="0" w:beforeAutospacing="0" w:after="0" w:afterAutospacing="0" w:line="560" w:lineRule="exact"/>
        <w:jc w:val="center"/>
        <w:rPr>
          <w:rFonts w:ascii="黑体" w:hAnsi="黑体" w:eastAsia="黑体" w:cs="黑体"/>
          <w:color w:val="333333"/>
          <w:sz w:val="32"/>
          <w:szCs w:val="32"/>
        </w:rPr>
      </w:pPr>
      <w:r>
        <w:rPr>
          <w:rFonts w:hint="eastAsia" w:ascii="黑体" w:hAnsi="黑体" w:eastAsia="黑体" w:cs="黑体"/>
          <w:color w:val="333333"/>
          <w:sz w:val="32"/>
          <w:szCs w:val="32"/>
        </w:rPr>
        <w:t>第四章  责任追究</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第二十条</w:t>
      </w:r>
      <w:r>
        <w:rPr>
          <w:rFonts w:hint="eastAsia" w:ascii="仿宋_GB2312" w:hAnsi="仿宋_GB2312" w:eastAsia="仿宋_GB2312" w:cs="仿宋_GB2312"/>
          <w:color w:val="333333"/>
          <w:kern w:val="0"/>
          <w:sz w:val="32"/>
          <w:szCs w:val="32"/>
        </w:rPr>
        <w:t xml:space="preserve">  气象防雷安全单位未按照本细则要求落实雷电风险管控的，由市、区气象主管机构依据《气象灾害防御条例》责令限期改正，督促落实整改，列入重点执法检查对象。不落实雷电重大风险管控措施的，气象主管机构应当约谈气象防雷安全单位主要负责人，提醒、告诫、指导加强安全管理，落实管控措施。</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第二十一条</w:t>
      </w:r>
      <w:r>
        <w:rPr>
          <w:rFonts w:hint="eastAsia" w:ascii="仿宋_GB2312" w:hAnsi="仿宋_GB2312" w:eastAsia="仿宋_GB2312" w:cs="仿宋_GB2312"/>
          <w:color w:val="333333"/>
          <w:kern w:val="0"/>
          <w:sz w:val="32"/>
          <w:szCs w:val="32"/>
        </w:rPr>
        <w:t xml:space="preserve">  气象主管理机构及其工作人员未依法履行职责的，由上级机关或者监察机关责令改正。</w:t>
      </w:r>
    </w:p>
    <w:p>
      <w:pPr>
        <w:shd w:val="clear" w:color="auto" w:fill="FFFFFF"/>
        <w:spacing w:line="560" w:lineRule="exact"/>
        <w:ind w:firstLine="640" w:firstLineChars="200"/>
        <w:textAlignment w:val="baseline"/>
        <w:outlineLvl w:val="0"/>
        <w:rPr>
          <w:rFonts w:ascii="仿宋_GB2312" w:hAnsi="仿宋_GB2312" w:eastAsia="仿宋_GB2312" w:cs="仿宋_GB2312"/>
          <w:color w:val="333333"/>
          <w:kern w:val="0"/>
          <w:sz w:val="32"/>
          <w:szCs w:val="32"/>
        </w:rPr>
      </w:pPr>
    </w:p>
    <w:p>
      <w:pPr>
        <w:shd w:val="clear" w:color="auto" w:fill="FFFFFF"/>
        <w:spacing w:line="560" w:lineRule="exact"/>
        <w:jc w:val="center"/>
        <w:textAlignment w:val="baseline"/>
        <w:outlineLvl w:val="0"/>
        <w:rPr>
          <w:rFonts w:ascii="仿宋_GB2312" w:hAnsi="仿宋_GB2312" w:eastAsia="仿宋_GB2312" w:cs="仿宋_GB2312"/>
          <w:color w:val="333333"/>
          <w:kern w:val="0"/>
          <w:sz w:val="32"/>
          <w:szCs w:val="32"/>
        </w:rPr>
      </w:pPr>
      <w:r>
        <w:rPr>
          <w:rFonts w:hint="eastAsia" w:ascii="黑体" w:hAnsi="黑体" w:eastAsia="黑体" w:cs="黑体"/>
          <w:color w:val="333333"/>
          <w:kern w:val="0"/>
          <w:sz w:val="32"/>
          <w:szCs w:val="32"/>
        </w:rPr>
        <w:t>第五章  附则</w:t>
      </w:r>
    </w:p>
    <w:p>
      <w:pPr>
        <w:shd w:val="clear" w:color="auto" w:fill="FFFFFF"/>
        <w:spacing w:line="560" w:lineRule="exact"/>
        <w:ind w:firstLine="643" w:firstLineChars="200"/>
        <w:textAlignment w:val="baseline"/>
        <w:outlineLvl w:val="0"/>
        <w:rPr>
          <w:rFonts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第二十二条</w:t>
      </w:r>
      <w:r>
        <w:rPr>
          <w:rFonts w:hint="eastAsia" w:ascii="仿宋_GB2312" w:hAnsi="仿宋_GB2312" w:eastAsia="仿宋_GB2312" w:cs="仿宋_GB2312"/>
          <w:color w:val="333333"/>
          <w:kern w:val="0"/>
          <w:sz w:val="32"/>
          <w:szCs w:val="32"/>
        </w:rPr>
        <w:t xml:space="preserve">  本细则自发布之日起施行，有效期三年。</w:t>
      </w:r>
    </w:p>
    <w:p>
      <w:pPr>
        <w:shd w:val="clear" w:color="auto" w:fill="FFFFFF"/>
        <w:ind w:firstLine="640"/>
        <w:rPr>
          <w:rFonts w:ascii="仿宋_GB2312" w:hAnsi="仿宋_GB2312" w:eastAsia="仿宋_GB2312" w:cs="仿宋_GB2312"/>
          <w:color w:val="333333"/>
          <w:kern w:val="0"/>
          <w:sz w:val="32"/>
          <w:szCs w:val="32"/>
        </w:rPr>
        <w:sectPr>
          <w:pgSz w:w="11906" w:h="16838"/>
          <w:pgMar w:top="1701" w:right="1800" w:bottom="1417" w:left="1800" w:header="851" w:footer="992" w:gutter="0"/>
          <w:cols w:space="0" w:num="1"/>
          <w:docGrid w:type="lines" w:linePitch="312" w:charSpace="0"/>
        </w:sectPr>
      </w:pPr>
      <w:r>
        <w:rPr>
          <w:rFonts w:hint="eastAsia" w:ascii="仿宋_GB2312" w:hAnsi="仿宋_GB2312" w:eastAsia="仿宋_GB2312" w:cs="仿宋_GB2312"/>
          <w:color w:val="333333"/>
          <w:kern w:val="0"/>
          <w:sz w:val="32"/>
          <w:szCs w:val="32"/>
        </w:rPr>
        <w:br w:type="page"/>
      </w:r>
    </w:p>
    <w:p>
      <w:pPr>
        <w:shd w:val="clear" w:color="auto" w:fill="FFFFFF"/>
        <w:spacing w:line="560" w:lineRule="exact"/>
        <w:jc w:val="left"/>
        <w:textAlignment w:val="baseline"/>
        <w:outlineLvl w:val="0"/>
        <w:rPr>
          <w:rFonts w:hint="eastAsia" w:ascii="黑体" w:hAnsi="黑体" w:eastAsia="黑体" w:cs="黑体"/>
          <w:b w:val="0"/>
          <w:bCs w:val="0"/>
          <w:color w:val="333333"/>
          <w:sz w:val="32"/>
          <w:szCs w:val="32"/>
          <w:lang w:val="en-US" w:eastAsia="zh-CN"/>
        </w:rPr>
      </w:pPr>
      <w:r>
        <w:rPr>
          <w:rFonts w:hint="eastAsia" w:ascii="黑体" w:hAnsi="黑体" w:eastAsia="黑体" w:cs="黑体"/>
          <w:b w:val="0"/>
          <w:bCs w:val="0"/>
          <w:color w:val="333333"/>
          <w:sz w:val="32"/>
          <w:szCs w:val="32"/>
          <w:lang w:eastAsia="zh-CN"/>
        </w:rPr>
        <w:t>表</w:t>
      </w:r>
      <w:r>
        <w:rPr>
          <w:rFonts w:hint="eastAsia" w:ascii="黑体" w:hAnsi="黑体" w:eastAsia="黑体" w:cs="黑体"/>
          <w:b w:val="0"/>
          <w:bCs w:val="0"/>
          <w:color w:val="333333"/>
          <w:sz w:val="32"/>
          <w:szCs w:val="32"/>
          <w:lang w:val="en-US" w:eastAsia="zh-CN"/>
        </w:rPr>
        <w:t>1</w:t>
      </w:r>
    </w:p>
    <w:p>
      <w:pPr>
        <w:shd w:val="clear" w:color="auto" w:fill="FFFFFF"/>
        <w:spacing w:line="560" w:lineRule="exact"/>
        <w:jc w:val="left"/>
        <w:textAlignment w:val="baseline"/>
        <w:outlineLvl w:val="0"/>
        <w:rPr>
          <w:rFonts w:hint="default" w:ascii="黑体" w:hAnsi="黑体" w:eastAsia="黑体" w:cs="黑体"/>
          <w:b w:val="0"/>
          <w:bCs w:val="0"/>
          <w:color w:val="333333"/>
          <w:sz w:val="32"/>
          <w:szCs w:val="32"/>
          <w:lang w:val="en-US" w:eastAsia="zh-CN"/>
        </w:rPr>
      </w:pPr>
    </w:p>
    <w:p>
      <w:pPr>
        <w:shd w:val="clear" w:color="auto" w:fill="FFFFFF"/>
        <w:spacing w:line="560" w:lineRule="exact"/>
        <w:jc w:val="center"/>
        <w:textAlignment w:val="baseline"/>
        <w:outlineLvl w:val="0"/>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333333"/>
          <w:sz w:val="44"/>
          <w:szCs w:val="44"/>
        </w:rPr>
        <w:t>广州市气象防雷安全单位雷电风险管控</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清单</w:t>
      </w:r>
    </w:p>
    <w:p>
      <w:pPr>
        <w:shd w:val="clear" w:color="auto" w:fill="FFFFFF"/>
        <w:spacing w:line="560" w:lineRule="exact"/>
        <w:textAlignment w:val="baseline"/>
        <w:outlineLvl w:val="0"/>
        <w:rPr>
          <w:rFonts w:asciiTheme="majorEastAsia" w:hAnsiTheme="majorEastAsia" w:eastAsiaTheme="majorEastAsia" w:cstheme="majorEastAsia"/>
          <w:b w:val="0"/>
          <w:bCs w:val="0"/>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4"/>
          <w:szCs w:val="24"/>
          <w14:textFill>
            <w14:solidFill>
              <w14:schemeClr w14:val="tx1"/>
            </w14:solidFill>
          </w14:textFill>
        </w:rPr>
        <w:t>填报单位：                                                                             编制时间：</w:t>
      </w:r>
    </w:p>
    <w:tbl>
      <w:tblPr>
        <w:tblStyle w:val="7"/>
        <w:tblW w:w="14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001"/>
        <w:gridCol w:w="746"/>
        <w:gridCol w:w="1451"/>
        <w:gridCol w:w="1594"/>
        <w:gridCol w:w="1665"/>
        <w:gridCol w:w="688"/>
        <w:gridCol w:w="1563"/>
        <w:gridCol w:w="1563"/>
        <w:gridCol w:w="658"/>
        <w:gridCol w:w="1271"/>
        <w:gridCol w:w="1063"/>
        <w:gridCol w:w="1183"/>
      </w:tblGrid>
      <w:tr>
        <w:tblPrEx>
          <w:tblLayout w:type="fixed"/>
        </w:tblPrEx>
        <w:trPr>
          <w:trHeight w:val="295" w:hRule="atLeast"/>
        </w:trPr>
        <w:tc>
          <w:tcPr>
            <w:tcW w:w="396" w:type="dxa"/>
            <w:vMerge w:val="restart"/>
            <w:vAlign w:val="center"/>
          </w:tcPr>
          <w:p>
            <w:pPr>
              <w:jc w:val="center"/>
            </w:pPr>
            <w:r>
              <w:rPr>
                <w:rFonts w:hint="eastAsia"/>
              </w:rPr>
              <w:t>序号</w:t>
            </w:r>
          </w:p>
        </w:tc>
        <w:tc>
          <w:tcPr>
            <w:tcW w:w="1001" w:type="dxa"/>
            <w:vMerge w:val="restart"/>
            <w:vAlign w:val="center"/>
          </w:tcPr>
          <w:p>
            <w:pPr>
              <w:jc w:val="center"/>
            </w:pPr>
            <w:r>
              <w:rPr>
                <w:rFonts w:hint="eastAsia"/>
              </w:rPr>
              <w:t>单位名称</w:t>
            </w:r>
          </w:p>
        </w:tc>
        <w:tc>
          <w:tcPr>
            <w:tcW w:w="746" w:type="dxa"/>
            <w:vMerge w:val="restart"/>
            <w:vAlign w:val="center"/>
          </w:tcPr>
          <w:p>
            <w:pPr>
              <w:jc w:val="center"/>
            </w:pPr>
            <w:r>
              <w:rPr>
                <w:rFonts w:hint="eastAsia"/>
              </w:rPr>
              <w:t>填报日期</w:t>
            </w:r>
          </w:p>
        </w:tc>
        <w:tc>
          <w:tcPr>
            <w:tcW w:w="1451" w:type="dxa"/>
            <w:vMerge w:val="restart"/>
            <w:vAlign w:val="center"/>
          </w:tcPr>
          <w:p>
            <w:pPr>
              <w:jc w:val="center"/>
            </w:pPr>
            <w:r>
              <w:rPr>
                <w:rFonts w:hint="eastAsia"/>
              </w:rPr>
              <w:t>风险点名称</w:t>
            </w:r>
          </w:p>
        </w:tc>
        <w:tc>
          <w:tcPr>
            <w:tcW w:w="1594" w:type="dxa"/>
            <w:vMerge w:val="restart"/>
            <w:vAlign w:val="center"/>
          </w:tcPr>
          <w:p>
            <w:pPr>
              <w:jc w:val="center"/>
            </w:pPr>
            <w:r>
              <w:rPr>
                <w:rFonts w:hint="eastAsia"/>
              </w:rPr>
              <w:t>类型/特征简述</w:t>
            </w:r>
          </w:p>
        </w:tc>
        <w:tc>
          <w:tcPr>
            <w:tcW w:w="1665" w:type="dxa"/>
            <w:vMerge w:val="restart"/>
            <w:vAlign w:val="center"/>
          </w:tcPr>
          <w:p>
            <w:pPr>
              <w:jc w:val="center"/>
            </w:pPr>
            <w:r>
              <w:rPr>
                <w:rFonts w:hint="eastAsia"/>
              </w:rPr>
              <w:t>存在主要风险表述/潜在风险（含可能性和后果严重性等分析）</w:t>
            </w:r>
          </w:p>
        </w:tc>
        <w:tc>
          <w:tcPr>
            <w:tcW w:w="688" w:type="dxa"/>
            <w:vMerge w:val="restart"/>
            <w:vAlign w:val="center"/>
          </w:tcPr>
          <w:p>
            <w:pPr>
              <w:jc w:val="center"/>
            </w:pPr>
            <w:r>
              <w:rPr>
                <w:rFonts w:hint="eastAsia"/>
              </w:rPr>
              <w:t>风险级别（黄/橙/红）</w:t>
            </w:r>
          </w:p>
        </w:tc>
        <w:tc>
          <w:tcPr>
            <w:tcW w:w="1563" w:type="dxa"/>
            <w:vMerge w:val="restart"/>
            <w:vAlign w:val="center"/>
          </w:tcPr>
          <w:p>
            <w:pPr>
              <w:jc w:val="center"/>
            </w:pPr>
            <w:r>
              <w:rPr>
                <w:rFonts w:hint="eastAsia"/>
              </w:rPr>
              <w:t>联系人姓名</w:t>
            </w:r>
          </w:p>
        </w:tc>
        <w:tc>
          <w:tcPr>
            <w:tcW w:w="1563" w:type="dxa"/>
            <w:vMerge w:val="restart"/>
            <w:vAlign w:val="center"/>
          </w:tcPr>
          <w:p>
            <w:pPr>
              <w:jc w:val="center"/>
            </w:pPr>
            <w:r>
              <w:rPr>
                <w:rFonts w:hint="eastAsia"/>
              </w:rPr>
              <w:t>联系人电话</w:t>
            </w:r>
          </w:p>
        </w:tc>
        <w:tc>
          <w:tcPr>
            <w:tcW w:w="1929" w:type="dxa"/>
            <w:gridSpan w:val="2"/>
            <w:vAlign w:val="center"/>
          </w:tcPr>
          <w:p>
            <w:pPr>
              <w:jc w:val="center"/>
            </w:pPr>
            <w:r>
              <w:rPr>
                <w:rFonts w:hint="eastAsia"/>
              </w:rPr>
              <w:t>所处行政区域</w:t>
            </w:r>
          </w:p>
        </w:tc>
        <w:tc>
          <w:tcPr>
            <w:tcW w:w="1063" w:type="dxa"/>
            <w:vMerge w:val="restart"/>
            <w:vAlign w:val="center"/>
          </w:tcPr>
          <w:p>
            <w:pPr>
              <w:jc w:val="center"/>
            </w:pPr>
            <w:r>
              <w:rPr>
                <w:rFonts w:hint="eastAsia"/>
              </w:rPr>
              <w:t>管控措施</w:t>
            </w:r>
          </w:p>
        </w:tc>
        <w:tc>
          <w:tcPr>
            <w:tcW w:w="1183" w:type="dxa"/>
            <w:vMerge w:val="restart"/>
            <w:vAlign w:val="center"/>
          </w:tcPr>
          <w:p>
            <w:pPr>
              <w:jc w:val="center"/>
            </w:pPr>
            <w:r>
              <w:rPr>
                <w:rFonts w:hint="eastAsia"/>
              </w:rPr>
              <w:t>管控效果</w:t>
            </w:r>
          </w:p>
        </w:tc>
      </w:tr>
      <w:tr>
        <w:tblPrEx>
          <w:tblLayout w:type="fixed"/>
        </w:tblPrEx>
        <w:trPr>
          <w:trHeight w:val="656" w:hRule="atLeast"/>
        </w:trPr>
        <w:tc>
          <w:tcPr>
            <w:tcW w:w="396" w:type="dxa"/>
            <w:vMerge w:val="continue"/>
          </w:tcPr>
          <w:p/>
        </w:tc>
        <w:tc>
          <w:tcPr>
            <w:tcW w:w="1001" w:type="dxa"/>
            <w:vMerge w:val="continue"/>
          </w:tcPr>
          <w:p/>
        </w:tc>
        <w:tc>
          <w:tcPr>
            <w:tcW w:w="746" w:type="dxa"/>
            <w:vMerge w:val="continue"/>
          </w:tcPr>
          <w:p/>
        </w:tc>
        <w:tc>
          <w:tcPr>
            <w:tcW w:w="1451" w:type="dxa"/>
            <w:vMerge w:val="continue"/>
          </w:tcPr>
          <w:p/>
        </w:tc>
        <w:tc>
          <w:tcPr>
            <w:tcW w:w="1594" w:type="dxa"/>
            <w:vMerge w:val="continue"/>
          </w:tcPr>
          <w:p/>
        </w:tc>
        <w:tc>
          <w:tcPr>
            <w:tcW w:w="1665" w:type="dxa"/>
            <w:vMerge w:val="continue"/>
          </w:tcPr>
          <w:p/>
        </w:tc>
        <w:tc>
          <w:tcPr>
            <w:tcW w:w="688" w:type="dxa"/>
            <w:vMerge w:val="continue"/>
          </w:tcPr>
          <w:p/>
        </w:tc>
        <w:tc>
          <w:tcPr>
            <w:tcW w:w="1563" w:type="dxa"/>
            <w:vMerge w:val="continue"/>
          </w:tcPr>
          <w:p/>
        </w:tc>
        <w:tc>
          <w:tcPr>
            <w:tcW w:w="1563" w:type="dxa"/>
            <w:vMerge w:val="continue"/>
          </w:tcPr>
          <w:p/>
        </w:tc>
        <w:tc>
          <w:tcPr>
            <w:tcW w:w="658" w:type="dxa"/>
            <w:vAlign w:val="center"/>
          </w:tcPr>
          <w:p>
            <w:pPr>
              <w:jc w:val="center"/>
            </w:pPr>
            <w:r>
              <w:rPr>
                <w:rFonts w:hint="eastAsia"/>
              </w:rPr>
              <w:t>区</w:t>
            </w:r>
          </w:p>
        </w:tc>
        <w:tc>
          <w:tcPr>
            <w:tcW w:w="1271" w:type="dxa"/>
            <w:vAlign w:val="center"/>
          </w:tcPr>
          <w:p>
            <w:pPr>
              <w:jc w:val="center"/>
            </w:pPr>
            <w:r>
              <w:rPr>
                <w:rFonts w:hint="eastAsia"/>
              </w:rPr>
              <w:t>具体地址</w:t>
            </w:r>
          </w:p>
        </w:tc>
        <w:tc>
          <w:tcPr>
            <w:tcW w:w="1063" w:type="dxa"/>
            <w:vMerge w:val="continue"/>
          </w:tcPr>
          <w:p/>
        </w:tc>
        <w:tc>
          <w:tcPr>
            <w:tcW w:w="1183" w:type="dxa"/>
            <w:vMerge w:val="continue"/>
          </w:tcPr>
          <w:p/>
        </w:tc>
      </w:tr>
      <w:tr>
        <w:tblPrEx>
          <w:tblLayout w:type="fixed"/>
        </w:tblPrEx>
        <w:trPr>
          <w:trHeight w:val="468" w:hRule="atLeast"/>
        </w:trPr>
        <w:tc>
          <w:tcPr>
            <w:tcW w:w="396" w:type="dxa"/>
          </w:tcPr>
          <w:p/>
        </w:tc>
        <w:tc>
          <w:tcPr>
            <w:tcW w:w="1001" w:type="dxa"/>
          </w:tcPr>
          <w:p/>
        </w:tc>
        <w:tc>
          <w:tcPr>
            <w:tcW w:w="746" w:type="dxa"/>
          </w:tcPr>
          <w:p/>
        </w:tc>
        <w:tc>
          <w:tcPr>
            <w:tcW w:w="1451" w:type="dxa"/>
          </w:tcPr>
          <w:p/>
        </w:tc>
        <w:tc>
          <w:tcPr>
            <w:tcW w:w="1594" w:type="dxa"/>
          </w:tcPr>
          <w:p/>
        </w:tc>
        <w:tc>
          <w:tcPr>
            <w:tcW w:w="1665" w:type="dxa"/>
          </w:tcPr>
          <w:p/>
        </w:tc>
        <w:tc>
          <w:tcPr>
            <w:tcW w:w="688" w:type="dxa"/>
          </w:tcPr>
          <w:p/>
        </w:tc>
        <w:tc>
          <w:tcPr>
            <w:tcW w:w="1563" w:type="dxa"/>
          </w:tcPr>
          <w:p/>
        </w:tc>
        <w:tc>
          <w:tcPr>
            <w:tcW w:w="1563" w:type="dxa"/>
          </w:tcPr>
          <w:p/>
        </w:tc>
        <w:tc>
          <w:tcPr>
            <w:tcW w:w="658" w:type="dxa"/>
          </w:tcPr>
          <w:p/>
        </w:tc>
        <w:tc>
          <w:tcPr>
            <w:tcW w:w="1271" w:type="dxa"/>
          </w:tcPr>
          <w:p/>
        </w:tc>
        <w:tc>
          <w:tcPr>
            <w:tcW w:w="1063" w:type="dxa"/>
          </w:tcPr>
          <w:p/>
        </w:tc>
        <w:tc>
          <w:tcPr>
            <w:tcW w:w="1183" w:type="dxa"/>
          </w:tcPr>
          <w:p/>
        </w:tc>
      </w:tr>
      <w:tr>
        <w:tblPrEx>
          <w:tblLayout w:type="fixed"/>
        </w:tblPrEx>
        <w:trPr>
          <w:trHeight w:val="495" w:hRule="atLeast"/>
        </w:trPr>
        <w:tc>
          <w:tcPr>
            <w:tcW w:w="396" w:type="dxa"/>
          </w:tcPr>
          <w:p/>
        </w:tc>
        <w:tc>
          <w:tcPr>
            <w:tcW w:w="1001" w:type="dxa"/>
          </w:tcPr>
          <w:p/>
        </w:tc>
        <w:tc>
          <w:tcPr>
            <w:tcW w:w="746" w:type="dxa"/>
          </w:tcPr>
          <w:p/>
        </w:tc>
        <w:tc>
          <w:tcPr>
            <w:tcW w:w="1451" w:type="dxa"/>
          </w:tcPr>
          <w:p/>
        </w:tc>
        <w:tc>
          <w:tcPr>
            <w:tcW w:w="1594" w:type="dxa"/>
          </w:tcPr>
          <w:p/>
        </w:tc>
        <w:tc>
          <w:tcPr>
            <w:tcW w:w="1665" w:type="dxa"/>
          </w:tcPr>
          <w:p/>
        </w:tc>
        <w:tc>
          <w:tcPr>
            <w:tcW w:w="688" w:type="dxa"/>
          </w:tcPr>
          <w:p/>
        </w:tc>
        <w:tc>
          <w:tcPr>
            <w:tcW w:w="1563" w:type="dxa"/>
          </w:tcPr>
          <w:p/>
        </w:tc>
        <w:tc>
          <w:tcPr>
            <w:tcW w:w="1563" w:type="dxa"/>
          </w:tcPr>
          <w:p/>
        </w:tc>
        <w:tc>
          <w:tcPr>
            <w:tcW w:w="658" w:type="dxa"/>
          </w:tcPr>
          <w:p/>
        </w:tc>
        <w:tc>
          <w:tcPr>
            <w:tcW w:w="1271" w:type="dxa"/>
          </w:tcPr>
          <w:p/>
        </w:tc>
        <w:tc>
          <w:tcPr>
            <w:tcW w:w="1063" w:type="dxa"/>
          </w:tcPr>
          <w:p/>
        </w:tc>
        <w:tc>
          <w:tcPr>
            <w:tcW w:w="1183" w:type="dxa"/>
          </w:tcPr>
          <w:p/>
        </w:tc>
      </w:tr>
      <w:tr>
        <w:tblPrEx>
          <w:tblLayout w:type="fixed"/>
        </w:tblPrEx>
        <w:trPr>
          <w:trHeight w:val="495" w:hRule="atLeast"/>
        </w:trPr>
        <w:tc>
          <w:tcPr>
            <w:tcW w:w="396" w:type="dxa"/>
          </w:tcPr>
          <w:p/>
        </w:tc>
        <w:tc>
          <w:tcPr>
            <w:tcW w:w="1001" w:type="dxa"/>
          </w:tcPr>
          <w:p/>
        </w:tc>
        <w:tc>
          <w:tcPr>
            <w:tcW w:w="746" w:type="dxa"/>
          </w:tcPr>
          <w:p/>
        </w:tc>
        <w:tc>
          <w:tcPr>
            <w:tcW w:w="1451" w:type="dxa"/>
          </w:tcPr>
          <w:p/>
        </w:tc>
        <w:tc>
          <w:tcPr>
            <w:tcW w:w="1594" w:type="dxa"/>
          </w:tcPr>
          <w:p/>
        </w:tc>
        <w:tc>
          <w:tcPr>
            <w:tcW w:w="1665" w:type="dxa"/>
          </w:tcPr>
          <w:p/>
        </w:tc>
        <w:tc>
          <w:tcPr>
            <w:tcW w:w="688" w:type="dxa"/>
          </w:tcPr>
          <w:p/>
        </w:tc>
        <w:tc>
          <w:tcPr>
            <w:tcW w:w="1563" w:type="dxa"/>
          </w:tcPr>
          <w:p/>
        </w:tc>
        <w:tc>
          <w:tcPr>
            <w:tcW w:w="1563" w:type="dxa"/>
          </w:tcPr>
          <w:p/>
        </w:tc>
        <w:tc>
          <w:tcPr>
            <w:tcW w:w="658" w:type="dxa"/>
          </w:tcPr>
          <w:p/>
        </w:tc>
        <w:tc>
          <w:tcPr>
            <w:tcW w:w="1271" w:type="dxa"/>
          </w:tcPr>
          <w:p/>
        </w:tc>
        <w:tc>
          <w:tcPr>
            <w:tcW w:w="1063" w:type="dxa"/>
          </w:tcPr>
          <w:p/>
        </w:tc>
        <w:tc>
          <w:tcPr>
            <w:tcW w:w="1183" w:type="dxa"/>
          </w:tcPr>
          <w:p/>
        </w:tc>
      </w:tr>
      <w:tr>
        <w:tblPrEx>
          <w:tblLayout w:type="fixed"/>
        </w:tblPrEx>
        <w:trPr>
          <w:trHeight w:val="495" w:hRule="atLeast"/>
        </w:trPr>
        <w:tc>
          <w:tcPr>
            <w:tcW w:w="396" w:type="dxa"/>
          </w:tcPr>
          <w:p/>
        </w:tc>
        <w:tc>
          <w:tcPr>
            <w:tcW w:w="1001" w:type="dxa"/>
          </w:tcPr>
          <w:p/>
        </w:tc>
        <w:tc>
          <w:tcPr>
            <w:tcW w:w="746" w:type="dxa"/>
          </w:tcPr>
          <w:p/>
        </w:tc>
        <w:tc>
          <w:tcPr>
            <w:tcW w:w="1451" w:type="dxa"/>
          </w:tcPr>
          <w:p/>
        </w:tc>
        <w:tc>
          <w:tcPr>
            <w:tcW w:w="1594" w:type="dxa"/>
          </w:tcPr>
          <w:p/>
        </w:tc>
        <w:tc>
          <w:tcPr>
            <w:tcW w:w="1665" w:type="dxa"/>
          </w:tcPr>
          <w:p/>
        </w:tc>
        <w:tc>
          <w:tcPr>
            <w:tcW w:w="688" w:type="dxa"/>
          </w:tcPr>
          <w:p/>
        </w:tc>
        <w:tc>
          <w:tcPr>
            <w:tcW w:w="1563" w:type="dxa"/>
          </w:tcPr>
          <w:p/>
        </w:tc>
        <w:tc>
          <w:tcPr>
            <w:tcW w:w="1563" w:type="dxa"/>
          </w:tcPr>
          <w:p/>
        </w:tc>
        <w:tc>
          <w:tcPr>
            <w:tcW w:w="658" w:type="dxa"/>
          </w:tcPr>
          <w:p/>
        </w:tc>
        <w:tc>
          <w:tcPr>
            <w:tcW w:w="1271" w:type="dxa"/>
          </w:tcPr>
          <w:p/>
        </w:tc>
        <w:tc>
          <w:tcPr>
            <w:tcW w:w="1063" w:type="dxa"/>
          </w:tcPr>
          <w:p/>
        </w:tc>
        <w:tc>
          <w:tcPr>
            <w:tcW w:w="1183" w:type="dxa"/>
          </w:tcPr>
          <w:p/>
        </w:tc>
      </w:tr>
    </w:tbl>
    <w:p>
      <w:pPr>
        <w:shd w:val="clear" w:color="auto" w:fill="FFFFFF"/>
        <w:spacing w:line="560" w:lineRule="exact"/>
        <w:textAlignment w:val="baseline"/>
        <w:outlineLvl w:val="0"/>
        <w:rPr>
          <w:rFonts w:hint="default" w:asciiTheme="majorEastAsia" w:hAnsiTheme="majorEastAsia" w:eastAsiaTheme="majorEastAsia" w:cstheme="majorEastAsia"/>
          <w:b w:val="0"/>
          <w:bCs w:val="0"/>
          <w:color w:val="000000" w:themeColor="text1"/>
          <w:kern w:val="0"/>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4"/>
          <w:szCs w:val="24"/>
          <w:lang w:eastAsia="zh-CN"/>
          <w14:textFill>
            <w14:solidFill>
              <w14:schemeClr w14:val="tx1"/>
            </w14:solidFill>
          </w14:textFill>
        </w:rPr>
        <w:t>填表人：</w:t>
      </w:r>
      <w:r>
        <w:rPr>
          <w:rFonts w:hint="eastAsia" w:asciiTheme="majorEastAsia" w:hAnsiTheme="majorEastAsia" w:eastAsiaTheme="majorEastAsia" w:cstheme="majorEastAsia"/>
          <w:b w:val="0"/>
          <w:bCs w:val="0"/>
          <w:color w:val="000000" w:themeColor="text1"/>
          <w:kern w:val="0"/>
          <w:sz w:val="24"/>
          <w:szCs w:val="24"/>
          <w:lang w:val="en-US" w:eastAsia="zh-CN"/>
          <w14:textFill>
            <w14:solidFill>
              <w14:schemeClr w14:val="tx1"/>
            </w14:solidFill>
          </w14:textFill>
        </w:rPr>
        <w:t xml:space="preserve">                                                                               联系电话：</w:t>
      </w:r>
    </w:p>
    <w:p>
      <w:pPr>
        <w:jc w:val="center"/>
        <w:rPr>
          <w:rFonts w:hint="eastAsia" w:ascii="方正小标宋简体" w:hAnsi="方正小标宋简体" w:eastAsia="方正小标宋简体" w:cs="方正小标宋简体"/>
          <w:b w:val="0"/>
          <w:bCs w:val="0"/>
          <w:color w:val="333333"/>
          <w:sz w:val="36"/>
          <w:szCs w:val="36"/>
        </w:rPr>
      </w:pPr>
    </w:p>
    <w:p>
      <w:pPr>
        <w:jc w:val="center"/>
        <w:rPr>
          <w:rFonts w:hint="eastAsia" w:ascii="方正小标宋简体" w:hAnsi="方正小标宋简体" w:eastAsia="方正小标宋简体" w:cs="方正小标宋简体"/>
          <w:b/>
          <w:bCs/>
          <w:color w:val="333333"/>
          <w:sz w:val="36"/>
          <w:szCs w:val="36"/>
        </w:rPr>
      </w:pPr>
    </w:p>
    <w:p>
      <w:pPr>
        <w:jc w:val="center"/>
        <w:rPr>
          <w:rFonts w:hint="eastAsia" w:ascii="方正小标宋简体" w:hAnsi="方正小标宋简体" w:eastAsia="方正小标宋简体" w:cs="方正小标宋简体"/>
          <w:b/>
          <w:bCs/>
          <w:color w:val="333333"/>
          <w:sz w:val="36"/>
          <w:szCs w:val="36"/>
        </w:rPr>
      </w:pPr>
    </w:p>
    <w:p>
      <w:pPr>
        <w:jc w:val="center"/>
        <w:rPr>
          <w:rFonts w:hint="eastAsia" w:ascii="方正小标宋简体" w:hAnsi="方正小标宋简体" w:eastAsia="方正小标宋简体" w:cs="方正小标宋简体"/>
          <w:b/>
          <w:bCs/>
          <w:color w:val="333333"/>
          <w:sz w:val="36"/>
          <w:szCs w:val="36"/>
        </w:rPr>
      </w:pPr>
    </w:p>
    <w:p>
      <w:pPr>
        <w:jc w:val="center"/>
        <w:rPr>
          <w:rFonts w:hint="eastAsia" w:ascii="方正小标宋简体" w:hAnsi="方正小标宋简体" w:eastAsia="方正小标宋简体" w:cs="方正小标宋简体"/>
          <w:b/>
          <w:bCs/>
          <w:color w:val="333333"/>
          <w:sz w:val="36"/>
          <w:szCs w:val="36"/>
        </w:rPr>
      </w:pPr>
    </w:p>
    <w:p>
      <w:pPr>
        <w:jc w:val="both"/>
        <w:rPr>
          <w:rFonts w:hint="eastAsia" w:ascii="黑体" w:hAnsi="黑体" w:eastAsia="黑体" w:cs="黑体"/>
          <w:b w:val="0"/>
          <w:bCs w:val="0"/>
          <w:color w:val="333333"/>
          <w:sz w:val="32"/>
          <w:szCs w:val="32"/>
          <w:lang w:val="en-US" w:eastAsia="zh-CN"/>
        </w:rPr>
      </w:pPr>
      <w:r>
        <w:rPr>
          <w:rFonts w:hint="eastAsia" w:ascii="黑体" w:hAnsi="黑体" w:eastAsia="黑体" w:cs="黑体"/>
          <w:b w:val="0"/>
          <w:bCs w:val="0"/>
          <w:color w:val="333333"/>
          <w:sz w:val="32"/>
          <w:szCs w:val="32"/>
          <w:lang w:eastAsia="zh-CN"/>
        </w:rPr>
        <w:t>表</w:t>
      </w:r>
      <w:r>
        <w:rPr>
          <w:rFonts w:hint="eastAsia" w:ascii="黑体" w:hAnsi="黑体" w:eastAsia="黑体" w:cs="黑体"/>
          <w:b w:val="0"/>
          <w:bCs w:val="0"/>
          <w:color w:val="333333"/>
          <w:sz w:val="32"/>
          <w:szCs w:val="32"/>
          <w:lang w:val="en-US" w:eastAsia="zh-CN"/>
        </w:rPr>
        <w:t>2</w:t>
      </w:r>
    </w:p>
    <w:p>
      <w:pPr>
        <w:jc w:val="both"/>
        <w:rPr>
          <w:rFonts w:hint="default" w:ascii="黑体" w:hAnsi="黑体" w:eastAsia="黑体" w:cs="黑体"/>
          <w:b w:val="0"/>
          <w:bCs w:val="0"/>
          <w:color w:val="333333"/>
          <w:sz w:val="32"/>
          <w:szCs w:val="32"/>
          <w:lang w:val="en-US" w:eastAsia="zh-CN"/>
        </w:rPr>
      </w:pPr>
    </w:p>
    <w:p>
      <w:pPr>
        <w:jc w:val="center"/>
        <w:rPr>
          <w:rFonts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广州市气象防雷安全单位雷电重大风险点统计表</w:t>
      </w:r>
    </w:p>
    <w:p>
      <w:pPr>
        <w:shd w:val="clear" w:color="auto" w:fill="FFFFFF"/>
        <w:spacing w:line="560" w:lineRule="exact"/>
        <w:textAlignment w:val="baseline"/>
        <w:outlineLvl w:val="0"/>
        <w:rPr>
          <w:rFonts w:asciiTheme="majorEastAsia" w:hAnsiTheme="majorEastAsia" w:eastAsiaTheme="majorEastAsia" w:cstheme="majorEastAsia"/>
          <w:b w:val="0"/>
          <w:bCs w:val="0"/>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4"/>
          <w:szCs w:val="24"/>
          <w14:textFill>
            <w14:solidFill>
              <w14:schemeClr w14:val="tx1"/>
            </w14:solidFill>
          </w14:textFill>
        </w:rPr>
        <w:t>单位名称：                                                                             编制时间：</w:t>
      </w:r>
    </w:p>
    <w:tbl>
      <w:tblPr>
        <w:tblStyle w:val="7"/>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565"/>
        <w:gridCol w:w="1474"/>
        <w:gridCol w:w="1423"/>
        <w:gridCol w:w="2526"/>
        <w:gridCol w:w="2147"/>
        <w:gridCol w:w="811"/>
        <w:gridCol w:w="1739"/>
        <w:gridCol w:w="1740"/>
        <w:gridCol w:w="958"/>
      </w:tblGrid>
      <w:tr>
        <w:tblPrEx>
          <w:tblLayout w:type="fixed"/>
        </w:tblPrEx>
        <w:trPr>
          <w:trHeight w:val="855" w:hRule="atLeast"/>
        </w:trPr>
        <w:tc>
          <w:tcPr>
            <w:tcW w:w="403" w:type="dxa"/>
            <w:vAlign w:val="center"/>
          </w:tcPr>
          <w:p>
            <w:pPr>
              <w:jc w:val="center"/>
              <w:rPr>
                <w:rFonts w:hint="eastAsia"/>
              </w:rPr>
            </w:pPr>
            <w:r>
              <w:rPr>
                <w:rFonts w:hint="eastAsia"/>
              </w:rPr>
              <w:t>序号</w:t>
            </w:r>
          </w:p>
        </w:tc>
        <w:tc>
          <w:tcPr>
            <w:tcW w:w="1565" w:type="dxa"/>
            <w:vAlign w:val="center"/>
          </w:tcPr>
          <w:p>
            <w:pPr>
              <w:jc w:val="center"/>
              <w:rPr>
                <w:rFonts w:hint="eastAsia"/>
              </w:rPr>
            </w:pPr>
            <w:r>
              <w:rPr>
                <w:rFonts w:hint="eastAsia"/>
              </w:rPr>
              <w:t>名称</w:t>
            </w:r>
          </w:p>
        </w:tc>
        <w:tc>
          <w:tcPr>
            <w:tcW w:w="1474" w:type="dxa"/>
            <w:vAlign w:val="center"/>
          </w:tcPr>
          <w:p>
            <w:pPr>
              <w:jc w:val="center"/>
              <w:rPr>
                <w:rFonts w:hint="eastAsia"/>
              </w:rPr>
            </w:pPr>
            <w:r>
              <w:rPr>
                <w:rFonts w:hint="eastAsia"/>
              </w:rPr>
              <w:t>类型</w:t>
            </w:r>
          </w:p>
        </w:tc>
        <w:tc>
          <w:tcPr>
            <w:tcW w:w="1423" w:type="dxa"/>
            <w:vAlign w:val="center"/>
          </w:tcPr>
          <w:p>
            <w:pPr>
              <w:jc w:val="center"/>
              <w:rPr>
                <w:rFonts w:hint="eastAsia"/>
              </w:rPr>
            </w:pPr>
            <w:r>
              <w:rPr>
                <w:rFonts w:hint="eastAsia"/>
              </w:rPr>
              <w:t>区域位置</w:t>
            </w:r>
          </w:p>
        </w:tc>
        <w:tc>
          <w:tcPr>
            <w:tcW w:w="2526" w:type="dxa"/>
            <w:vAlign w:val="center"/>
          </w:tcPr>
          <w:p>
            <w:pPr>
              <w:jc w:val="center"/>
              <w:rPr>
                <w:rFonts w:hint="eastAsia"/>
              </w:rPr>
            </w:pPr>
            <w:r>
              <w:rPr>
                <w:rFonts w:hint="eastAsia"/>
              </w:rPr>
              <w:t>可能发生的事故类型及后果</w:t>
            </w:r>
          </w:p>
        </w:tc>
        <w:tc>
          <w:tcPr>
            <w:tcW w:w="2147" w:type="dxa"/>
            <w:vAlign w:val="center"/>
          </w:tcPr>
          <w:p>
            <w:pPr>
              <w:jc w:val="center"/>
              <w:rPr>
                <w:rFonts w:hint="eastAsia"/>
              </w:rPr>
            </w:pPr>
            <w:r>
              <w:rPr>
                <w:rFonts w:hint="eastAsia"/>
              </w:rPr>
              <w:t>主要风险控制措施</w:t>
            </w:r>
          </w:p>
        </w:tc>
        <w:tc>
          <w:tcPr>
            <w:tcW w:w="811" w:type="dxa"/>
            <w:vAlign w:val="center"/>
          </w:tcPr>
          <w:p>
            <w:pPr>
              <w:jc w:val="center"/>
              <w:rPr>
                <w:rFonts w:hint="eastAsia"/>
              </w:rPr>
            </w:pPr>
            <w:r>
              <w:rPr>
                <w:rFonts w:hint="eastAsia"/>
              </w:rPr>
              <w:t>管控层级</w:t>
            </w:r>
          </w:p>
        </w:tc>
        <w:tc>
          <w:tcPr>
            <w:tcW w:w="1739" w:type="dxa"/>
            <w:vAlign w:val="center"/>
          </w:tcPr>
          <w:p>
            <w:pPr>
              <w:jc w:val="center"/>
              <w:rPr>
                <w:rFonts w:hint="eastAsia"/>
              </w:rPr>
            </w:pPr>
            <w:r>
              <w:rPr>
                <w:rFonts w:hint="eastAsia"/>
              </w:rPr>
              <w:t>责任单位</w:t>
            </w:r>
          </w:p>
        </w:tc>
        <w:tc>
          <w:tcPr>
            <w:tcW w:w="1740" w:type="dxa"/>
            <w:vAlign w:val="center"/>
          </w:tcPr>
          <w:p>
            <w:pPr>
              <w:jc w:val="center"/>
              <w:rPr>
                <w:rFonts w:hint="eastAsia"/>
              </w:rPr>
            </w:pPr>
            <w:r>
              <w:rPr>
                <w:rFonts w:hint="eastAsia"/>
              </w:rPr>
              <w:t>责任人</w:t>
            </w:r>
          </w:p>
        </w:tc>
        <w:tc>
          <w:tcPr>
            <w:tcW w:w="958" w:type="dxa"/>
            <w:vAlign w:val="center"/>
          </w:tcPr>
          <w:p>
            <w:pPr>
              <w:jc w:val="center"/>
              <w:rPr>
                <w:rFonts w:hint="eastAsia"/>
              </w:rPr>
            </w:pPr>
            <w:r>
              <w:rPr>
                <w:rFonts w:hint="eastAsia"/>
              </w:rPr>
              <w:t>备注</w:t>
            </w:r>
          </w:p>
        </w:tc>
      </w:tr>
      <w:tr>
        <w:tblPrEx>
          <w:tblLayout w:type="fixed"/>
        </w:tblPrEx>
        <w:trPr>
          <w:trHeight w:val="533" w:hRule="atLeast"/>
        </w:trPr>
        <w:tc>
          <w:tcPr>
            <w:tcW w:w="403"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565"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474"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423"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2526"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2147"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811"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739"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740"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958"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r>
      <w:tr>
        <w:tblPrEx>
          <w:tblLayout w:type="fixed"/>
        </w:tblPrEx>
        <w:trPr>
          <w:trHeight w:val="629" w:hRule="atLeast"/>
        </w:trPr>
        <w:tc>
          <w:tcPr>
            <w:tcW w:w="403"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565"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474"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423"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2526"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2147"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811"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739"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740"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958"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r>
      <w:tr>
        <w:tblPrEx>
          <w:tblLayout w:type="fixed"/>
        </w:tblPrEx>
        <w:trPr>
          <w:trHeight w:val="629" w:hRule="atLeast"/>
        </w:trPr>
        <w:tc>
          <w:tcPr>
            <w:tcW w:w="403"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565"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474"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423"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2526"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2147"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811"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739"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740"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958"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r>
      <w:tr>
        <w:tblPrEx>
          <w:tblLayout w:type="fixed"/>
        </w:tblPrEx>
        <w:trPr>
          <w:trHeight w:val="629" w:hRule="atLeast"/>
        </w:trPr>
        <w:tc>
          <w:tcPr>
            <w:tcW w:w="403"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565"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474"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423"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2526"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2147"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811"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739"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1740"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c>
          <w:tcPr>
            <w:tcW w:w="958" w:type="dxa"/>
          </w:tcPr>
          <w:p>
            <w:pPr>
              <w:spacing w:line="560" w:lineRule="exact"/>
              <w:textAlignment w:val="baseline"/>
              <w:outlineLvl w:val="0"/>
              <w:rPr>
                <w:rFonts w:asciiTheme="majorEastAsia" w:hAnsiTheme="majorEastAsia" w:eastAsiaTheme="majorEastAsia" w:cstheme="majorEastAsia"/>
                <w:b/>
                <w:bCs/>
                <w:color w:val="000000" w:themeColor="text1"/>
                <w:kern w:val="0"/>
                <w:sz w:val="24"/>
                <w:szCs w:val="24"/>
                <w14:textFill>
                  <w14:solidFill>
                    <w14:schemeClr w14:val="tx1"/>
                  </w14:solidFill>
                </w14:textFill>
              </w:rPr>
            </w:pPr>
          </w:p>
        </w:tc>
      </w:tr>
    </w:tbl>
    <w:p>
      <w:pPr>
        <w:shd w:val="clear" w:color="auto" w:fill="FFFFFF"/>
        <w:spacing w:line="560" w:lineRule="exact"/>
        <w:textAlignment w:val="baseline"/>
        <w:outlineLvl w:val="0"/>
        <w:rPr>
          <w:rFonts w:hint="default" w:asciiTheme="majorEastAsia" w:hAnsiTheme="majorEastAsia" w:eastAsiaTheme="majorEastAsia" w:cstheme="majorEastAsia"/>
          <w:b w:val="0"/>
          <w:bCs w:val="0"/>
          <w:color w:val="000000" w:themeColor="text1"/>
          <w:kern w:val="0"/>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4"/>
          <w:szCs w:val="24"/>
          <w:lang w:eastAsia="zh-CN"/>
          <w14:textFill>
            <w14:solidFill>
              <w14:schemeClr w14:val="tx1"/>
            </w14:solidFill>
          </w14:textFill>
        </w:rPr>
        <w:t>填表人：</w:t>
      </w:r>
      <w:r>
        <w:rPr>
          <w:rFonts w:hint="eastAsia" w:asciiTheme="majorEastAsia" w:hAnsiTheme="majorEastAsia" w:eastAsiaTheme="majorEastAsia" w:cstheme="majorEastAsia"/>
          <w:b w:val="0"/>
          <w:bCs w:val="0"/>
          <w:color w:val="000000" w:themeColor="text1"/>
          <w:kern w:val="0"/>
          <w:sz w:val="24"/>
          <w:szCs w:val="24"/>
          <w:lang w:val="en-US" w:eastAsia="zh-CN"/>
          <w14:textFill>
            <w14:solidFill>
              <w14:schemeClr w14:val="tx1"/>
            </w14:solidFill>
          </w14:textFill>
        </w:rPr>
        <w:t xml:space="preserve">                                                                               联系电话：</w:t>
      </w:r>
    </w:p>
    <w:p>
      <w:pPr>
        <w:shd w:val="clear" w:color="auto" w:fill="FFFFFF"/>
        <w:spacing w:line="560" w:lineRule="exact"/>
        <w:textAlignment w:val="baseline"/>
        <w:outlineLvl w:val="0"/>
        <w:rPr>
          <w:rFonts w:asciiTheme="majorEastAsia" w:hAnsiTheme="majorEastAsia" w:eastAsiaTheme="majorEastAsia" w:cstheme="majorEastAsia"/>
          <w:b w:val="0"/>
          <w:bCs w:val="0"/>
          <w:color w:val="333333"/>
          <w:kern w:val="0"/>
          <w:sz w:val="32"/>
          <w:szCs w:val="32"/>
        </w:rPr>
      </w:pPr>
    </w:p>
    <w:sectPr>
      <w:pgSz w:w="16838" w:h="11906" w:orient="landscape"/>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revisionView w:markup="0"/>
  <w:documentProtection w:edit="readOnly" w:formatting="1"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C227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 w:type="character" w:customStyle="1" w:styleId="11">
    <w:name w:val="批注框文本 Char"/>
    <w:basedOn w:val="8"/>
    <w:link w:val="2"/>
    <w:qFormat/>
    <w:uiPriority w:val="0"/>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54E9F-0212-4C90-8706-D382F1B6EE70}">
  <ds:schemaRefs/>
</ds:datastoreItem>
</file>

<file path=docProps/app.xml><?xml version="1.0" encoding="utf-8"?>
<Properties xmlns="http://schemas.openxmlformats.org/officeDocument/2006/extended-properties" xmlns:vt="http://schemas.openxmlformats.org/officeDocument/2006/docPropsVTypes">
  <Template>wdzx97.dot</Template>
  <Company>神州网信技术有限公司</Company>
  <Pages>10</Pages>
  <Words>677</Words>
  <Characters>3864</Characters>
  <Lines>32</Lines>
  <Paragraphs>9</Paragraphs>
  <TotalTime>22</TotalTime>
  <ScaleCrop>false</ScaleCrop>
  <LinksUpToDate>false</LinksUpToDate>
  <CharactersWithSpaces>4532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2020-10-30T02:58:00Z</dcterms:created>
  <dc:creator>彭祥龙</dc:creator>
  <cp:lastModifiedBy>广州气象台文秘</cp:lastModifiedBy>
  <cp:lastPrinted>2020-05-19T06:57:00Z</cp:lastPrinted>
  <dcterms:modified xsi:type="dcterms:W3CDTF">2020-11-12T01:17:38Z</dcterms:modified>
  <dc:title>广州市防雷安全重点单位风险分级管控实施细则（试行）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