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spacing w:line="360" w:lineRule="auto"/>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附件1 </w:t>
      </w:r>
      <w:r>
        <w:rPr>
          <w:rFonts w:hint="eastAsia" w:asciiTheme="minorEastAsia" w:hAnsiTheme="minorEastAsia" w:eastAsiaTheme="minorEastAsia" w:cstheme="minorEastAsia"/>
          <w:sz w:val="24"/>
          <w:szCs w:val="24"/>
        </w:rPr>
        <w:t>园区供后评价指标解释</w:t>
      </w:r>
      <w:bookmarkStart w:id="0" w:name="_GoBack"/>
      <w:bookmarkEnd w:id="0"/>
    </w:p>
    <w:tbl>
      <w:tblPr>
        <w:tblStyle w:val="8"/>
        <w:tblW w:w="91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168"/>
        <w:gridCol w:w="1810"/>
        <w:gridCol w:w="2557"/>
        <w:gridCol w:w="1086"/>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blHeader/>
          <w:jc w:val="center"/>
        </w:trPr>
        <w:tc>
          <w:tcPr>
            <w:tcW w:w="728"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序号</w:t>
            </w:r>
          </w:p>
        </w:tc>
        <w:tc>
          <w:tcPr>
            <w:tcW w:w="1168"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一级指标</w:t>
            </w:r>
          </w:p>
        </w:tc>
        <w:tc>
          <w:tcPr>
            <w:tcW w:w="1810"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bCs/>
                <w:sz w:val="24"/>
                <w:szCs w:val="24"/>
              </w:rPr>
              <w:t>二级指标</w:t>
            </w:r>
          </w:p>
        </w:tc>
        <w:tc>
          <w:tcPr>
            <w:tcW w:w="2557"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指标解释</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指标类型</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0" w:hRule="atLeast"/>
          <w:jc w:val="center"/>
        </w:trPr>
        <w:tc>
          <w:tcPr>
            <w:tcW w:w="728" w:type="dxa"/>
            <w:vMerge w:val="restart"/>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1</w:t>
            </w:r>
          </w:p>
        </w:tc>
        <w:tc>
          <w:tcPr>
            <w:tcW w:w="116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园区建设</w:t>
            </w:r>
          </w:p>
        </w:tc>
        <w:tc>
          <w:tcPr>
            <w:tcW w:w="1810"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建设进度</w:t>
            </w:r>
          </w:p>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（固定资产完成进度）</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园区按照合同规定时间节点进行建设，以固定资产完成进度的情况做参考。</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招商责任部门会</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市规划和自然资源局南沙区分局国、发展和改革局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jc w:val="center"/>
        </w:trPr>
        <w:tc>
          <w:tcPr>
            <w:tcW w:w="72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810"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建设时序</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项目内容建设的先后顺序，原则上产业和办公用途的建设优先于住宅用途建设，具体以招商责任部门与园区投建方签订协议为准。</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招商责任部门会</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市规划和自然资源局南沙区分局国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atLeast"/>
          <w:jc w:val="center"/>
        </w:trPr>
        <w:tc>
          <w:tcPr>
            <w:tcW w:w="72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810"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安全生产</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检查每个年度该项目安全生产情况是否符合安全要求等。</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2" w:hRule="atLeast"/>
          <w:jc w:val="center"/>
        </w:trPr>
        <w:tc>
          <w:tcPr>
            <w:tcW w:w="728" w:type="dxa"/>
            <w:vMerge w:val="restart"/>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2</w:t>
            </w:r>
          </w:p>
        </w:tc>
        <w:tc>
          <w:tcPr>
            <w:tcW w:w="116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园区发展</w:t>
            </w:r>
          </w:p>
        </w:tc>
        <w:tc>
          <w:tcPr>
            <w:tcW w:w="1810"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管理规范程度</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园区各项规章制度</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科学性及合理性。</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产业园管理局、发展和改革局、科技工业和信息化局、商务局、市规划和自然资源局南沙区分局国、应急管理局第三方等评价工作小组成员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2" w:hRule="atLeast"/>
          <w:jc w:val="center"/>
        </w:trPr>
        <w:tc>
          <w:tcPr>
            <w:tcW w:w="72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810"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主导产业营业收入占比</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指园区营业收入排名前2位的行业营业收入之和占园区全部营业收入的</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比重。</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客观类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招商责任部门、第三方计算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9" w:hRule="atLeast"/>
          <w:jc w:val="center"/>
        </w:trPr>
        <w:tc>
          <w:tcPr>
            <w:tcW w:w="72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810"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产业培育情况</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（培育高新科技/骨干企业情况等，</w:t>
            </w:r>
            <w:r>
              <w:rPr>
                <w:rFonts w:hint="eastAsia" w:asciiTheme="majorEastAsia" w:hAnsiTheme="majorEastAsia" w:eastAsiaTheme="majorEastAsia" w:cstheme="majorEastAsia"/>
                <w:bCs/>
                <w:sz w:val="24"/>
                <w:szCs w:val="24"/>
              </w:rPr>
              <w:t>包括但不限于</w:t>
            </w:r>
            <w:r>
              <w:rPr>
                <w:rFonts w:hint="eastAsia" w:asciiTheme="majorEastAsia" w:hAnsiTheme="majorEastAsia" w:eastAsiaTheme="majorEastAsia" w:cstheme="majorEastAsia"/>
                <w:sz w:val="24"/>
                <w:szCs w:val="24"/>
              </w:rPr>
              <w:t>）</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产业培育情况</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（培育高新科技及骨干</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企业情况、市场影响力、产业链完备度、产业配套等，包括但不限于）</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产业园管理局、发展和改革局、科技工业和信息化局、商务局、市规划和自然资源局南沙区分局国、应急管理局第三方等评价工作小组成员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jc w:val="center"/>
        </w:trPr>
        <w:tc>
          <w:tcPr>
            <w:tcW w:w="72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sz w:val="24"/>
                <w:szCs w:val="24"/>
              </w:rPr>
            </w:pPr>
          </w:p>
        </w:tc>
        <w:tc>
          <w:tcPr>
            <w:tcW w:w="1810" w:type="dxa"/>
            <w:vAlign w:val="center"/>
          </w:tcPr>
          <w:p>
            <w:pPr>
              <w:pStyle w:val="16"/>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适用于七大战略性新兴产业：</w:t>
            </w:r>
            <w:r>
              <w:rPr>
                <w:rFonts w:hint="eastAsia" w:asciiTheme="majorEastAsia" w:hAnsiTheme="majorEastAsia" w:eastAsiaTheme="majorEastAsia" w:cstheme="majorEastAsia"/>
                <w:sz w:val="24"/>
                <w:szCs w:val="24"/>
              </w:rPr>
              <w:t>研发投入强度、</w:t>
            </w:r>
            <w:r>
              <w:rPr>
                <w:rFonts w:hint="eastAsia" w:asciiTheme="majorEastAsia" w:hAnsiTheme="majorEastAsia" w:eastAsiaTheme="majorEastAsia" w:cstheme="majorEastAsia"/>
                <w:bCs/>
                <w:sz w:val="24"/>
                <w:szCs w:val="24"/>
              </w:rPr>
              <w:t>每万人发明专利授权量等，</w:t>
            </w:r>
            <w:r>
              <w:rPr>
                <w:rFonts w:hint="eastAsia" w:asciiTheme="majorEastAsia" w:hAnsiTheme="majorEastAsia" w:eastAsiaTheme="majorEastAsia" w:cstheme="majorEastAsia"/>
                <w:sz w:val="24"/>
                <w:szCs w:val="24"/>
              </w:rPr>
              <w:t>包括但不限于</w:t>
            </w:r>
          </w:p>
          <w:p>
            <w:pPr>
              <w:pStyle w:val="16"/>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适用于跨境电商行业：</w:t>
            </w:r>
            <w:r>
              <w:rPr>
                <w:rFonts w:hint="eastAsia" w:asciiTheme="majorEastAsia" w:hAnsiTheme="majorEastAsia" w:eastAsiaTheme="majorEastAsia" w:cstheme="majorEastAsia"/>
                <w:sz w:val="24"/>
                <w:szCs w:val="24"/>
              </w:rPr>
              <w:t>跨境电商进出口额增速、跨境电商入驻企业数等，包括但不限于</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研发投入强度：</w:t>
            </w:r>
            <w:r>
              <w:rPr>
                <w:rFonts w:hint="eastAsia" w:asciiTheme="majorEastAsia" w:hAnsiTheme="majorEastAsia" w:eastAsiaTheme="majorEastAsia" w:cstheme="majorEastAsia"/>
                <w:sz w:val="24"/>
                <w:szCs w:val="24"/>
              </w:rPr>
              <w:t>研发经费占主营业务收入的比例。</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每万人发明专利授权量：</w:t>
            </w:r>
            <w:r>
              <w:rPr>
                <w:rFonts w:hint="eastAsia" w:asciiTheme="majorEastAsia" w:hAnsiTheme="majorEastAsia" w:eastAsiaTheme="majorEastAsia" w:cstheme="majorEastAsia"/>
                <w:sz w:val="24"/>
                <w:szCs w:val="24"/>
              </w:rPr>
              <w:t>园区每万名就业人员发明专利授权量。</w:t>
            </w:r>
          </w:p>
          <w:p>
            <w:pPr>
              <w:pStyle w:val="16"/>
              <w:jc w:val="center"/>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跨境电商进出口额增速：</w:t>
            </w:r>
            <w:r>
              <w:rPr>
                <w:rFonts w:hint="eastAsia" w:asciiTheme="majorEastAsia" w:hAnsiTheme="majorEastAsia" w:eastAsiaTheme="majorEastAsia" w:cstheme="majorEastAsia"/>
                <w:bCs/>
                <w:sz w:val="24"/>
                <w:szCs w:val="24"/>
              </w:rPr>
              <w:t>园区自投产到评估期间跨境电商进出口额年复合增长率。</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跨境电商入驻企业数：</w:t>
            </w:r>
            <w:r>
              <w:rPr>
                <w:rFonts w:hint="eastAsia" w:asciiTheme="majorEastAsia" w:hAnsiTheme="majorEastAsia" w:eastAsiaTheme="majorEastAsia" w:cstheme="majorEastAsia"/>
                <w:bCs/>
                <w:sz w:val="24"/>
                <w:szCs w:val="24"/>
              </w:rPr>
              <w:t>以跨境电商为主营业务的企业数量。</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客观类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招商责任部门、第三方计算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72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168" w:type="dxa"/>
            <w:vMerge w:val="restart"/>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园区产出</w:t>
            </w:r>
          </w:p>
        </w:tc>
        <w:tc>
          <w:tcPr>
            <w:tcW w:w="1810"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土地产出率</w:t>
            </w:r>
          </w:p>
        </w:tc>
        <w:tc>
          <w:tcPr>
            <w:tcW w:w="2557"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园区单位土地面积上的</w:t>
            </w:r>
          </w:p>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主营业务收入。</w:t>
            </w:r>
          </w:p>
        </w:tc>
        <w:tc>
          <w:tcPr>
            <w:tcW w:w="1086"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客观类</w:t>
            </w:r>
          </w:p>
        </w:tc>
        <w:tc>
          <w:tcPr>
            <w:tcW w:w="1834" w:type="dxa"/>
            <w:vAlign w:val="center"/>
          </w:tcPr>
          <w:p>
            <w:pPr>
              <w:pStyle w:val="16"/>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招商责任部门、第三方计算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jc w:val="center"/>
        </w:trPr>
        <w:tc>
          <w:tcPr>
            <w:tcW w:w="72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168" w:type="dxa"/>
            <w:vMerge w:val="continue"/>
            <w:vAlign w:val="center"/>
          </w:tcPr>
          <w:p>
            <w:pPr>
              <w:pStyle w:val="16"/>
              <w:jc w:val="center"/>
              <w:rPr>
                <w:rFonts w:hint="eastAsia" w:asciiTheme="majorEastAsia" w:hAnsiTheme="majorEastAsia" w:eastAsiaTheme="majorEastAsia" w:cstheme="majorEastAsia"/>
                <w:b/>
                <w:sz w:val="24"/>
                <w:szCs w:val="24"/>
              </w:rPr>
            </w:pPr>
          </w:p>
        </w:tc>
        <w:tc>
          <w:tcPr>
            <w:tcW w:w="1810" w:type="dxa"/>
            <w:vAlign w:val="center"/>
          </w:tcPr>
          <w:p>
            <w:pPr>
              <w:pStyle w:val="16"/>
              <w:jc w:val="center"/>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地均税收</w:t>
            </w:r>
          </w:p>
        </w:tc>
        <w:tc>
          <w:tcPr>
            <w:tcW w:w="2557" w:type="dxa"/>
            <w:vAlign w:val="center"/>
          </w:tcPr>
          <w:p>
            <w:pPr>
              <w:pStyle w:val="22"/>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园区单位土地面积上须</w:t>
            </w:r>
          </w:p>
          <w:p>
            <w:pPr>
              <w:pStyle w:val="22"/>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缴纳的税收。</w:t>
            </w:r>
          </w:p>
        </w:tc>
        <w:tc>
          <w:tcPr>
            <w:tcW w:w="1086" w:type="dxa"/>
            <w:vAlign w:val="center"/>
          </w:tcPr>
          <w:p>
            <w:pPr>
              <w:pStyle w:val="22"/>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客观类</w:t>
            </w:r>
          </w:p>
        </w:tc>
        <w:tc>
          <w:tcPr>
            <w:tcW w:w="1834" w:type="dxa"/>
            <w:vAlign w:val="center"/>
          </w:tcPr>
          <w:p>
            <w:pPr>
              <w:pStyle w:val="22"/>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招商责任部门、第三方计算</w:t>
            </w:r>
          </w:p>
        </w:tc>
      </w:tr>
    </w:tbl>
    <w:p>
      <w:pPr>
        <w:jc w:val="both"/>
      </w:pPr>
    </w:p>
    <w:sectPr>
      <w:footerReference r:id="rId5" w:type="default"/>
      <w:pgSz w:w="11906" w:h="16838" w:orient="landscape"/>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6584526"/>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369A"/>
    <w:rsid w:val="000A50FB"/>
    <w:rsid w:val="000B7A3F"/>
    <w:rsid w:val="00100444"/>
    <w:rsid w:val="001321C6"/>
    <w:rsid w:val="00141EA6"/>
    <w:rsid w:val="00165E58"/>
    <w:rsid w:val="00172A27"/>
    <w:rsid w:val="00194A69"/>
    <w:rsid w:val="001D19AA"/>
    <w:rsid w:val="001D2EC7"/>
    <w:rsid w:val="00204BCD"/>
    <w:rsid w:val="00215F3B"/>
    <w:rsid w:val="00270875"/>
    <w:rsid w:val="00290677"/>
    <w:rsid w:val="00291DAB"/>
    <w:rsid w:val="002B4C6C"/>
    <w:rsid w:val="00302333"/>
    <w:rsid w:val="00320F20"/>
    <w:rsid w:val="00363C35"/>
    <w:rsid w:val="00392D88"/>
    <w:rsid w:val="00402103"/>
    <w:rsid w:val="00466514"/>
    <w:rsid w:val="00485AEE"/>
    <w:rsid w:val="0048649D"/>
    <w:rsid w:val="00494E44"/>
    <w:rsid w:val="004B11DD"/>
    <w:rsid w:val="00531707"/>
    <w:rsid w:val="00542C51"/>
    <w:rsid w:val="00574C01"/>
    <w:rsid w:val="00597AA9"/>
    <w:rsid w:val="005B21D0"/>
    <w:rsid w:val="005D1537"/>
    <w:rsid w:val="005D3DBC"/>
    <w:rsid w:val="005D7C65"/>
    <w:rsid w:val="00635A70"/>
    <w:rsid w:val="00663559"/>
    <w:rsid w:val="0068511D"/>
    <w:rsid w:val="006A4A09"/>
    <w:rsid w:val="006A7F14"/>
    <w:rsid w:val="006D610C"/>
    <w:rsid w:val="007459EC"/>
    <w:rsid w:val="00761568"/>
    <w:rsid w:val="00797090"/>
    <w:rsid w:val="007D24D8"/>
    <w:rsid w:val="007F1B40"/>
    <w:rsid w:val="008120AF"/>
    <w:rsid w:val="00870961"/>
    <w:rsid w:val="00874C0F"/>
    <w:rsid w:val="00884D42"/>
    <w:rsid w:val="00891C96"/>
    <w:rsid w:val="008F6817"/>
    <w:rsid w:val="00943CF2"/>
    <w:rsid w:val="009B2C3E"/>
    <w:rsid w:val="009D12B6"/>
    <w:rsid w:val="009E1D16"/>
    <w:rsid w:val="009E6BB4"/>
    <w:rsid w:val="00A03D62"/>
    <w:rsid w:val="00A32998"/>
    <w:rsid w:val="00A92D2F"/>
    <w:rsid w:val="00AB14FA"/>
    <w:rsid w:val="00AB248C"/>
    <w:rsid w:val="00AB5387"/>
    <w:rsid w:val="00AC56C1"/>
    <w:rsid w:val="00AE2CBC"/>
    <w:rsid w:val="00AF5B9B"/>
    <w:rsid w:val="00B016CB"/>
    <w:rsid w:val="00B06735"/>
    <w:rsid w:val="00B1490C"/>
    <w:rsid w:val="00B53B84"/>
    <w:rsid w:val="00B80209"/>
    <w:rsid w:val="00B85D41"/>
    <w:rsid w:val="00B92D80"/>
    <w:rsid w:val="00B9313B"/>
    <w:rsid w:val="00BA4A56"/>
    <w:rsid w:val="00BD25C2"/>
    <w:rsid w:val="00BE416A"/>
    <w:rsid w:val="00BF5126"/>
    <w:rsid w:val="00C10B19"/>
    <w:rsid w:val="00C47BD3"/>
    <w:rsid w:val="00C50A83"/>
    <w:rsid w:val="00C857E6"/>
    <w:rsid w:val="00C9262E"/>
    <w:rsid w:val="00CA45E0"/>
    <w:rsid w:val="00CA6579"/>
    <w:rsid w:val="00CC03EF"/>
    <w:rsid w:val="00CC513B"/>
    <w:rsid w:val="00CD070C"/>
    <w:rsid w:val="00CF4E0D"/>
    <w:rsid w:val="00D120C5"/>
    <w:rsid w:val="00D15817"/>
    <w:rsid w:val="00D17F40"/>
    <w:rsid w:val="00D33B80"/>
    <w:rsid w:val="00D36CB6"/>
    <w:rsid w:val="00D43DA7"/>
    <w:rsid w:val="00D56786"/>
    <w:rsid w:val="00D74442"/>
    <w:rsid w:val="00D8408F"/>
    <w:rsid w:val="00DB0281"/>
    <w:rsid w:val="00DC7967"/>
    <w:rsid w:val="00E17168"/>
    <w:rsid w:val="00E25969"/>
    <w:rsid w:val="00E43375"/>
    <w:rsid w:val="00E46388"/>
    <w:rsid w:val="00E4793B"/>
    <w:rsid w:val="00EB113F"/>
    <w:rsid w:val="00ED2EAB"/>
    <w:rsid w:val="00F050E4"/>
    <w:rsid w:val="00F05D57"/>
    <w:rsid w:val="00F14718"/>
    <w:rsid w:val="00F21F44"/>
    <w:rsid w:val="00F85175"/>
    <w:rsid w:val="00FA48F8"/>
    <w:rsid w:val="00FD047F"/>
    <w:rsid w:val="02004519"/>
    <w:rsid w:val="02782FBA"/>
    <w:rsid w:val="02B751D8"/>
    <w:rsid w:val="037E49ED"/>
    <w:rsid w:val="03991995"/>
    <w:rsid w:val="03A64AE6"/>
    <w:rsid w:val="03BA4652"/>
    <w:rsid w:val="043A0660"/>
    <w:rsid w:val="044B7FA3"/>
    <w:rsid w:val="04BF3C54"/>
    <w:rsid w:val="04BF7029"/>
    <w:rsid w:val="053F0915"/>
    <w:rsid w:val="05DC19EE"/>
    <w:rsid w:val="05DF1E13"/>
    <w:rsid w:val="05F54DAA"/>
    <w:rsid w:val="074B01DC"/>
    <w:rsid w:val="087B4C27"/>
    <w:rsid w:val="08DD7ED7"/>
    <w:rsid w:val="092151D8"/>
    <w:rsid w:val="09C457A0"/>
    <w:rsid w:val="0AD44A4A"/>
    <w:rsid w:val="0AF62E98"/>
    <w:rsid w:val="0B227F40"/>
    <w:rsid w:val="0C3D03BE"/>
    <w:rsid w:val="0C993FA1"/>
    <w:rsid w:val="0D7966BB"/>
    <w:rsid w:val="0E221FA4"/>
    <w:rsid w:val="0EA15DE8"/>
    <w:rsid w:val="0EA74A02"/>
    <w:rsid w:val="0ED45A4B"/>
    <w:rsid w:val="0F0355C7"/>
    <w:rsid w:val="0F81438E"/>
    <w:rsid w:val="107C1A06"/>
    <w:rsid w:val="10A843CF"/>
    <w:rsid w:val="11F05A5A"/>
    <w:rsid w:val="12135C8E"/>
    <w:rsid w:val="121B2F7E"/>
    <w:rsid w:val="12B26BDF"/>
    <w:rsid w:val="13170085"/>
    <w:rsid w:val="14113E5B"/>
    <w:rsid w:val="14347526"/>
    <w:rsid w:val="146A0B1C"/>
    <w:rsid w:val="14DC4407"/>
    <w:rsid w:val="15164245"/>
    <w:rsid w:val="15B00851"/>
    <w:rsid w:val="16924C04"/>
    <w:rsid w:val="171D20F9"/>
    <w:rsid w:val="17570A5C"/>
    <w:rsid w:val="1777487F"/>
    <w:rsid w:val="179E57EA"/>
    <w:rsid w:val="17AC1537"/>
    <w:rsid w:val="18B96C3E"/>
    <w:rsid w:val="195064D2"/>
    <w:rsid w:val="198A6BC1"/>
    <w:rsid w:val="1A8B78C8"/>
    <w:rsid w:val="1AF42CA3"/>
    <w:rsid w:val="1B1D0CF9"/>
    <w:rsid w:val="1B1E123A"/>
    <w:rsid w:val="1B885029"/>
    <w:rsid w:val="1BE84C93"/>
    <w:rsid w:val="1C4117F5"/>
    <w:rsid w:val="1C7B44B9"/>
    <w:rsid w:val="1C882E95"/>
    <w:rsid w:val="1D1B5EBC"/>
    <w:rsid w:val="1D625A87"/>
    <w:rsid w:val="1DCB3868"/>
    <w:rsid w:val="1E0203F0"/>
    <w:rsid w:val="1E2E0766"/>
    <w:rsid w:val="1E8F7FA5"/>
    <w:rsid w:val="1F3F01D0"/>
    <w:rsid w:val="1F6921F0"/>
    <w:rsid w:val="1FA57C8E"/>
    <w:rsid w:val="20504451"/>
    <w:rsid w:val="2060454A"/>
    <w:rsid w:val="210473E3"/>
    <w:rsid w:val="21092E45"/>
    <w:rsid w:val="212E6D7E"/>
    <w:rsid w:val="21B31FA1"/>
    <w:rsid w:val="21B63522"/>
    <w:rsid w:val="21DF6191"/>
    <w:rsid w:val="23093FB3"/>
    <w:rsid w:val="23335B17"/>
    <w:rsid w:val="23A34624"/>
    <w:rsid w:val="242A5F98"/>
    <w:rsid w:val="24ED0358"/>
    <w:rsid w:val="254F3E05"/>
    <w:rsid w:val="255E77B6"/>
    <w:rsid w:val="263F3485"/>
    <w:rsid w:val="26F255AF"/>
    <w:rsid w:val="273A3868"/>
    <w:rsid w:val="27752454"/>
    <w:rsid w:val="2787332F"/>
    <w:rsid w:val="278A7A31"/>
    <w:rsid w:val="27CB014C"/>
    <w:rsid w:val="27CF2A5D"/>
    <w:rsid w:val="29B340BB"/>
    <w:rsid w:val="2A3336B1"/>
    <w:rsid w:val="2A500547"/>
    <w:rsid w:val="2A7F5F0C"/>
    <w:rsid w:val="2B0A67F2"/>
    <w:rsid w:val="2B9B1B48"/>
    <w:rsid w:val="2D240BAF"/>
    <w:rsid w:val="2D3C3F45"/>
    <w:rsid w:val="2DF0210A"/>
    <w:rsid w:val="2E023E19"/>
    <w:rsid w:val="2F5766B4"/>
    <w:rsid w:val="2F927915"/>
    <w:rsid w:val="2F9A307F"/>
    <w:rsid w:val="2FDF2154"/>
    <w:rsid w:val="30E22A9C"/>
    <w:rsid w:val="311A4DF1"/>
    <w:rsid w:val="31A060D8"/>
    <w:rsid w:val="31C87153"/>
    <w:rsid w:val="320A7884"/>
    <w:rsid w:val="32AC0C4F"/>
    <w:rsid w:val="32D00CE6"/>
    <w:rsid w:val="334E7200"/>
    <w:rsid w:val="33CE43FE"/>
    <w:rsid w:val="34002664"/>
    <w:rsid w:val="3416219F"/>
    <w:rsid w:val="346D3DFC"/>
    <w:rsid w:val="34F44665"/>
    <w:rsid w:val="35393B13"/>
    <w:rsid w:val="3606431D"/>
    <w:rsid w:val="36E43B99"/>
    <w:rsid w:val="37031B55"/>
    <w:rsid w:val="370A71F9"/>
    <w:rsid w:val="370E35C6"/>
    <w:rsid w:val="37247A2A"/>
    <w:rsid w:val="37CF76C5"/>
    <w:rsid w:val="39280C4D"/>
    <w:rsid w:val="393202C1"/>
    <w:rsid w:val="39D972C3"/>
    <w:rsid w:val="3BB9725A"/>
    <w:rsid w:val="3BD743E0"/>
    <w:rsid w:val="3C312C7A"/>
    <w:rsid w:val="3C935548"/>
    <w:rsid w:val="3DB10587"/>
    <w:rsid w:val="3E570A9D"/>
    <w:rsid w:val="3FD86A55"/>
    <w:rsid w:val="40196D1E"/>
    <w:rsid w:val="406D16D5"/>
    <w:rsid w:val="4086427F"/>
    <w:rsid w:val="40C4536B"/>
    <w:rsid w:val="40F82145"/>
    <w:rsid w:val="4106638B"/>
    <w:rsid w:val="429D6BFF"/>
    <w:rsid w:val="42C86A10"/>
    <w:rsid w:val="42E95DED"/>
    <w:rsid w:val="430F0235"/>
    <w:rsid w:val="430F0D40"/>
    <w:rsid w:val="43AF5FB6"/>
    <w:rsid w:val="43D11DBD"/>
    <w:rsid w:val="45122B54"/>
    <w:rsid w:val="45862B2A"/>
    <w:rsid w:val="459F6843"/>
    <w:rsid w:val="45BB4066"/>
    <w:rsid w:val="46391AD6"/>
    <w:rsid w:val="463D2FAC"/>
    <w:rsid w:val="46E30F41"/>
    <w:rsid w:val="473D6F2F"/>
    <w:rsid w:val="47E50995"/>
    <w:rsid w:val="47EA1168"/>
    <w:rsid w:val="48214163"/>
    <w:rsid w:val="49B4023C"/>
    <w:rsid w:val="49B6526F"/>
    <w:rsid w:val="49EE15B4"/>
    <w:rsid w:val="4A1C7010"/>
    <w:rsid w:val="4ABC32E3"/>
    <w:rsid w:val="4B8A4307"/>
    <w:rsid w:val="4C207CE2"/>
    <w:rsid w:val="4C3936F0"/>
    <w:rsid w:val="4C4431DD"/>
    <w:rsid w:val="4C6E62E7"/>
    <w:rsid w:val="4D550AFD"/>
    <w:rsid w:val="4D7059D5"/>
    <w:rsid w:val="4E0F606F"/>
    <w:rsid w:val="4E841B2B"/>
    <w:rsid w:val="4E9D2917"/>
    <w:rsid w:val="4EA01499"/>
    <w:rsid w:val="4F210ACB"/>
    <w:rsid w:val="4F2C79F9"/>
    <w:rsid w:val="4F6644EB"/>
    <w:rsid w:val="505A7C77"/>
    <w:rsid w:val="510C0F26"/>
    <w:rsid w:val="521207EC"/>
    <w:rsid w:val="52484168"/>
    <w:rsid w:val="53674D1D"/>
    <w:rsid w:val="5407085C"/>
    <w:rsid w:val="54461AB0"/>
    <w:rsid w:val="547F7462"/>
    <w:rsid w:val="54912B0E"/>
    <w:rsid w:val="55AA2E73"/>
    <w:rsid w:val="55B06187"/>
    <w:rsid w:val="56186573"/>
    <w:rsid w:val="564F33CC"/>
    <w:rsid w:val="568F6EC9"/>
    <w:rsid w:val="573E2E7D"/>
    <w:rsid w:val="57470458"/>
    <w:rsid w:val="585E46DE"/>
    <w:rsid w:val="58A8598E"/>
    <w:rsid w:val="595D2327"/>
    <w:rsid w:val="59ED7EF0"/>
    <w:rsid w:val="5A0163B1"/>
    <w:rsid w:val="5A4D46CD"/>
    <w:rsid w:val="5A9D0254"/>
    <w:rsid w:val="5ADC2C9E"/>
    <w:rsid w:val="5C6E24AD"/>
    <w:rsid w:val="5C775BD2"/>
    <w:rsid w:val="5CE84869"/>
    <w:rsid w:val="5D813098"/>
    <w:rsid w:val="5D911634"/>
    <w:rsid w:val="5F1E5E88"/>
    <w:rsid w:val="5F3100D0"/>
    <w:rsid w:val="5F6C5123"/>
    <w:rsid w:val="5FFF6755"/>
    <w:rsid w:val="6059261D"/>
    <w:rsid w:val="60A62E29"/>
    <w:rsid w:val="60DC2474"/>
    <w:rsid w:val="60DD11C9"/>
    <w:rsid w:val="61A50BCC"/>
    <w:rsid w:val="63DE662A"/>
    <w:rsid w:val="64165380"/>
    <w:rsid w:val="66504505"/>
    <w:rsid w:val="67450FC5"/>
    <w:rsid w:val="67924C55"/>
    <w:rsid w:val="680479C4"/>
    <w:rsid w:val="683C2D91"/>
    <w:rsid w:val="688E6416"/>
    <w:rsid w:val="692019A0"/>
    <w:rsid w:val="698F1750"/>
    <w:rsid w:val="69AA2513"/>
    <w:rsid w:val="69C47F91"/>
    <w:rsid w:val="69D72FC0"/>
    <w:rsid w:val="6B3D3343"/>
    <w:rsid w:val="6B6570DC"/>
    <w:rsid w:val="6B9351B8"/>
    <w:rsid w:val="6B937F84"/>
    <w:rsid w:val="6BA33C2B"/>
    <w:rsid w:val="6C0010D7"/>
    <w:rsid w:val="6C0A71B3"/>
    <w:rsid w:val="6C89519F"/>
    <w:rsid w:val="6CA93E1D"/>
    <w:rsid w:val="6E981BE5"/>
    <w:rsid w:val="6F066557"/>
    <w:rsid w:val="6F8B415F"/>
    <w:rsid w:val="6FAA11EA"/>
    <w:rsid w:val="703516D7"/>
    <w:rsid w:val="70AC1F6D"/>
    <w:rsid w:val="71105782"/>
    <w:rsid w:val="71827024"/>
    <w:rsid w:val="719B47E5"/>
    <w:rsid w:val="71C15AB6"/>
    <w:rsid w:val="71F14D1C"/>
    <w:rsid w:val="721A3EFA"/>
    <w:rsid w:val="72226AFC"/>
    <w:rsid w:val="73350BAA"/>
    <w:rsid w:val="73BC090D"/>
    <w:rsid w:val="741844F6"/>
    <w:rsid w:val="75025A6A"/>
    <w:rsid w:val="7527411E"/>
    <w:rsid w:val="752A3B5A"/>
    <w:rsid w:val="75F22087"/>
    <w:rsid w:val="760E1E31"/>
    <w:rsid w:val="773B301C"/>
    <w:rsid w:val="77707AFD"/>
    <w:rsid w:val="78A65245"/>
    <w:rsid w:val="7A5A6FDB"/>
    <w:rsid w:val="7B382D3A"/>
    <w:rsid w:val="7BB661F2"/>
    <w:rsid w:val="7DA157B9"/>
    <w:rsid w:val="7DE406BC"/>
    <w:rsid w:val="7F2201B2"/>
    <w:rsid w:val="7F43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
    <w:pPr>
      <w:keepNext/>
      <w:keepLines/>
      <w:spacing w:before="340" w:after="330" w:line="578" w:lineRule="auto"/>
      <w:outlineLvl w:val="0"/>
    </w:pPr>
    <w:rPr>
      <w:rFonts w:ascii="Calibri" w:hAnsi="Calibri"/>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34"/>
    <w:qFormat/>
    <w:uiPriority w:val="0"/>
    <w:rPr>
      <w:sz w:val="18"/>
      <w:szCs w:val="18"/>
    </w:rPr>
  </w:style>
  <w:style w:type="paragraph" w:styleId="4">
    <w:name w:val="footer"/>
    <w:basedOn w:val="1"/>
    <w:link w:val="35"/>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33"/>
    <w:unhideWhenUsed/>
    <w:qFormat/>
    <w:uiPriority w:val="99"/>
    <w:pPr>
      <w:snapToGrid w:val="0"/>
      <w:jc w:val="left"/>
    </w:pPr>
    <w:rPr>
      <w:rFonts w:ascii="Calibri" w:hAnsi="Calibri"/>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footnote reference"/>
    <w:unhideWhenUsed/>
    <w:qFormat/>
    <w:uiPriority w:val="99"/>
    <w:rPr>
      <w:vertAlign w:val="superscript"/>
    </w:rPr>
  </w:style>
  <w:style w:type="paragraph" w:customStyle="1" w:styleId="13">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14">
    <w:name w:val="正文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标题 1 New"/>
    <w:basedOn w:val="16"/>
    <w:next w:val="16"/>
    <w:qFormat/>
    <w:uiPriority w:val="0"/>
    <w:pPr>
      <w:keepNext/>
      <w:keepLines/>
      <w:spacing w:before="340" w:after="330" w:line="578" w:lineRule="auto"/>
      <w:outlineLvl w:val="0"/>
    </w:pPr>
    <w:rPr>
      <w:b/>
      <w:bCs/>
      <w:kern w:val="44"/>
      <w:sz w:val="44"/>
      <w:szCs w:val="44"/>
    </w:rPr>
  </w:style>
  <w:style w:type="paragraph" w:customStyle="1" w:styleId="16">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9">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_Style 22"/>
    <w:unhideWhenUsed/>
    <w:qFormat/>
    <w:uiPriority w:val="99"/>
    <w:rPr>
      <w:rFonts w:ascii="Times New Roman" w:hAnsi="Times New Roman" w:eastAsia="宋体" w:cs="Times New Roman"/>
      <w:kern w:val="2"/>
      <w:sz w:val="21"/>
      <w:lang w:val="en-US" w:eastAsia="zh-CN" w:bidi="ar-SA"/>
    </w:rPr>
  </w:style>
  <w:style w:type="paragraph" w:customStyle="1" w:styleId="24">
    <w:name w:val="正文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31">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标题 1 字符"/>
    <w:link w:val="2"/>
    <w:qFormat/>
    <w:uiPriority w:val="9"/>
    <w:rPr>
      <w:rFonts w:ascii="Calibri" w:hAnsi="Calibri"/>
      <w:b/>
      <w:bCs/>
      <w:kern w:val="44"/>
      <w:sz w:val="44"/>
      <w:szCs w:val="44"/>
    </w:rPr>
  </w:style>
  <w:style w:type="character" w:customStyle="1" w:styleId="33">
    <w:name w:val="脚注文本 字符"/>
    <w:link w:val="6"/>
    <w:qFormat/>
    <w:uiPriority w:val="99"/>
    <w:rPr>
      <w:rFonts w:ascii="Calibri" w:hAnsi="Calibri"/>
      <w:kern w:val="2"/>
      <w:sz w:val="18"/>
      <w:szCs w:val="18"/>
    </w:rPr>
  </w:style>
  <w:style w:type="character" w:customStyle="1" w:styleId="34">
    <w:name w:val="批注框文本 字符"/>
    <w:link w:val="3"/>
    <w:qFormat/>
    <w:uiPriority w:val="0"/>
    <w:rPr>
      <w:kern w:val="2"/>
      <w:sz w:val="18"/>
      <w:szCs w:val="18"/>
    </w:rPr>
  </w:style>
  <w:style w:type="character" w:customStyle="1" w:styleId="35">
    <w:name w:val="页脚 字符"/>
    <w:basedOn w:val="10"/>
    <w:link w:val="4"/>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2223</Words>
  <Characters>12676</Characters>
  <Lines>105</Lines>
  <Paragraphs>29</Paragraphs>
  <TotalTime>104</TotalTime>
  <ScaleCrop>false</ScaleCrop>
  <LinksUpToDate>false</LinksUpToDate>
  <CharactersWithSpaces>14870</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2019-06-24T01:55:00Z</dcterms:created>
  <dc:creator>产业园区开发办公室/谢伶莉</dc:creator>
  <cp:lastModifiedBy>燃藜小月</cp:lastModifiedBy>
  <cp:lastPrinted>2019-07-08T07:20:00Z</cp:lastPrinted>
  <dcterms:modified xsi:type="dcterms:W3CDTF">2019-09-09T08:33:15Z</dcterms:modified>
  <dc:title>广州南沙新区（自贸片区）新兴产业园区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