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6"/>
        <w:spacing w:line="360" w:lineRule="auto"/>
        <w:outlineLvl w:val="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附件4 园区供后指标方案评分表</w:t>
      </w:r>
    </w:p>
    <w:tbl>
      <w:tblPr>
        <w:tblStyle w:val="8"/>
        <w:tblW w:w="14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1"/>
        <w:gridCol w:w="2513"/>
        <w:gridCol w:w="3286"/>
        <w:gridCol w:w="1614"/>
        <w:gridCol w:w="1900"/>
        <w:gridCol w:w="1886"/>
        <w:gridCol w:w="1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5" w:hRule="atLeast"/>
        </w:trPr>
        <w:tc>
          <w:tcPr>
            <w:tcW w:w="1031" w:type="dxa"/>
            <w:vAlign w:val="center"/>
          </w:tcPr>
          <w:p>
            <w:pPr>
              <w:pStyle w:val="16"/>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序号</w:t>
            </w:r>
          </w:p>
        </w:tc>
        <w:tc>
          <w:tcPr>
            <w:tcW w:w="2513" w:type="dxa"/>
            <w:vAlign w:val="center"/>
          </w:tcPr>
          <w:p>
            <w:pPr>
              <w:pStyle w:val="16"/>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一级指标</w:t>
            </w:r>
          </w:p>
        </w:tc>
        <w:tc>
          <w:tcPr>
            <w:tcW w:w="3286" w:type="dxa"/>
            <w:vAlign w:val="center"/>
          </w:tcPr>
          <w:p>
            <w:pPr>
              <w:pStyle w:val="16"/>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二级指标</w:t>
            </w:r>
          </w:p>
        </w:tc>
        <w:tc>
          <w:tcPr>
            <w:tcW w:w="1614" w:type="dxa"/>
            <w:vAlign w:val="center"/>
          </w:tcPr>
          <w:p>
            <w:pPr>
              <w:pStyle w:val="16"/>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权重</w:t>
            </w:r>
          </w:p>
        </w:tc>
        <w:tc>
          <w:tcPr>
            <w:tcW w:w="1900" w:type="dxa"/>
            <w:vAlign w:val="center"/>
          </w:tcPr>
          <w:p>
            <w:pPr>
              <w:pStyle w:val="16"/>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负责部门打分</w:t>
            </w:r>
          </w:p>
        </w:tc>
        <w:tc>
          <w:tcPr>
            <w:tcW w:w="1886" w:type="dxa"/>
            <w:vAlign w:val="center"/>
          </w:tcPr>
          <w:p>
            <w:pPr>
              <w:pStyle w:val="16"/>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第三方打分</w:t>
            </w:r>
          </w:p>
        </w:tc>
        <w:tc>
          <w:tcPr>
            <w:tcW w:w="1770" w:type="dxa"/>
            <w:vAlign w:val="center"/>
          </w:tcPr>
          <w:p>
            <w:pPr>
              <w:pStyle w:val="16"/>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5" w:hRule="atLeast"/>
        </w:trPr>
        <w:tc>
          <w:tcPr>
            <w:tcW w:w="1031" w:type="dxa"/>
            <w:vMerge w:val="restart"/>
            <w:vAlign w:val="center"/>
          </w:tcPr>
          <w:p>
            <w:pPr>
              <w:pStyle w:val="16"/>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w:t>
            </w:r>
          </w:p>
        </w:tc>
        <w:tc>
          <w:tcPr>
            <w:tcW w:w="2513" w:type="dxa"/>
            <w:vMerge w:val="restart"/>
            <w:vAlign w:val="center"/>
          </w:tcPr>
          <w:p>
            <w:pPr>
              <w:pStyle w:val="16"/>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园区建设（20%）</w:t>
            </w:r>
          </w:p>
        </w:tc>
        <w:tc>
          <w:tcPr>
            <w:tcW w:w="3286" w:type="dxa"/>
            <w:vAlign w:val="center"/>
          </w:tcPr>
          <w:p>
            <w:pPr>
              <w:pStyle w:val="16"/>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建设进度</w:t>
            </w:r>
          </w:p>
          <w:p>
            <w:pPr>
              <w:pStyle w:val="16"/>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（固定资产完成进度）</w:t>
            </w:r>
          </w:p>
        </w:tc>
        <w:tc>
          <w:tcPr>
            <w:tcW w:w="1614" w:type="dxa"/>
            <w:vAlign w:val="center"/>
          </w:tcPr>
          <w:p>
            <w:pPr>
              <w:pStyle w:val="16"/>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7%</w:t>
            </w:r>
          </w:p>
        </w:tc>
        <w:tc>
          <w:tcPr>
            <w:tcW w:w="1900" w:type="dxa"/>
            <w:vAlign w:val="center"/>
          </w:tcPr>
          <w:p>
            <w:pPr>
              <w:pStyle w:val="16"/>
              <w:jc w:val="center"/>
              <w:rPr>
                <w:rFonts w:hint="eastAsia" w:asciiTheme="majorEastAsia" w:hAnsiTheme="majorEastAsia" w:eastAsiaTheme="majorEastAsia" w:cstheme="majorEastAsia"/>
                <w:sz w:val="24"/>
                <w:szCs w:val="24"/>
              </w:rPr>
            </w:pPr>
          </w:p>
        </w:tc>
        <w:tc>
          <w:tcPr>
            <w:tcW w:w="1886" w:type="dxa"/>
            <w:vAlign w:val="center"/>
          </w:tcPr>
          <w:p>
            <w:pPr>
              <w:pStyle w:val="16"/>
              <w:jc w:val="center"/>
              <w:rPr>
                <w:rFonts w:hint="eastAsia" w:asciiTheme="majorEastAsia" w:hAnsiTheme="majorEastAsia" w:eastAsiaTheme="majorEastAsia" w:cstheme="majorEastAsia"/>
                <w:sz w:val="24"/>
                <w:szCs w:val="24"/>
              </w:rPr>
            </w:pPr>
          </w:p>
        </w:tc>
        <w:tc>
          <w:tcPr>
            <w:tcW w:w="1770" w:type="dxa"/>
            <w:vAlign w:val="center"/>
          </w:tcPr>
          <w:p>
            <w:pPr>
              <w:pStyle w:val="16"/>
              <w:jc w:val="center"/>
              <w:rPr>
                <w:rFonts w:hint="eastAsia" w:asciiTheme="majorEastAsia" w:hAnsiTheme="majorEastAsia" w:eastAsiaTheme="majorEastAsia" w:cstheme="maj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2" w:hRule="atLeast"/>
        </w:trPr>
        <w:tc>
          <w:tcPr>
            <w:tcW w:w="1031" w:type="dxa"/>
            <w:vMerge w:val="continue"/>
            <w:vAlign w:val="center"/>
          </w:tcPr>
          <w:p>
            <w:pPr>
              <w:pStyle w:val="16"/>
              <w:jc w:val="center"/>
              <w:rPr>
                <w:rFonts w:hint="eastAsia" w:asciiTheme="majorEastAsia" w:hAnsiTheme="majorEastAsia" w:eastAsiaTheme="majorEastAsia" w:cstheme="majorEastAsia"/>
                <w:sz w:val="24"/>
                <w:szCs w:val="24"/>
              </w:rPr>
            </w:pPr>
          </w:p>
        </w:tc>
        <w:tc>
          <w:tcPr>
            <w:tcW w:w="2513" w:type="dxa"/>
            <w:vMerge w:val="continue"/>
            <w:vAlign w:val="center"/>
          </w:tcPr>
          <w:p>
            <w:pPr>
              <w:pStyle w:val="16"/>
              <w:jc w:val="center"/>
              <w:rPr>
                <w:rFonts w:hint="eastAsia" w:asciiTheme="majorEastAsia" w:hAnsiTheme="majorEastAsia" w:eastAsiaTheme="majorEastAsia" w:cstheme="majorEastAsia"/>
                <w:sz w:val="24"/>
                <w:szCs w:val="24"/>
              </w:rPr>
            </w:pPr>
          </w:p>
        </w:tc>
        <w:tc>
          <w:tcPr>
            <w:tcW w:w="3286" w:type="dxa"/>
            <w:vAlign w:val="center"/>
          </w:tcPr>
          <w:p>
            <w:pPr>
              <w:pStyle w:val="16"/>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建设时序</w:t>
            </w:r>
          </w:p>
        </w:tc>
        <w:tc>
          <w:tcPr>
            <w:tcW w:w="1614" w:type="dxa"/>
            <w:vAlign w:val="center"/>
          </w:tcPr>
          <w:p>
            <w:pPr>
              <w:pStyle w:val="16"/>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6%</w:t>
            </w:r>
          </w:p>
        </w:tc>
        <w:tc>
          <w:tcPr>
            <w:tcW w:w="1900" w:type="dxa"/>
            <w:vAlign w:val="center"/>
          </w:tcPr>
          <w:p>
            <w:pPr>
              <w:pStyle w:val="16"/>
              <w:jc w:val="center"/>
              <w:rPr>
                <w:rFonts w:hint="eastAsia" w:asciiTheme="majorEastAsia" w:hAnsiTheme="majorEastAsia" w:eastAsiaTheme="majorEastAsia" w:cstheme="majorEastAsia"/>
                <w:sz w:val="24"/>
                <w:szCs w:val="24"/>
              </w:rPr>
            </w:pPr>
          </w:p>
        </w:tc>
        <w:tc>
          <w:tcPr>
            <w:tcW w:w="1886" w:type="dxa"/>
            <w:vAlign w:val="center"/>
          </w:tcPr>
          <w:p>
            <w:pPr>
              <w:pStyle w:val="16"/>
              <w:jc w:val="center"/>
              <w:rPr>
                <w:rFonts w:hint="eastAsia" w:asciiTheme="majorEastAsia" w:hAnsiTheme="majorEastAsia" w:eastAsiaTheme="majorEastAsia" w:cstheme="majorEastAsia"/>
                <w:sz w:val="24"/>
                <w:szCs w:val="24"/>
              </w:rPr>
            </w:pPr>
          </w:p>
        </w:tc>
        <w:tc>
          <w:tcPr>
            <w:tcW w:w="1770" w:type="dxa"/>
            <w:vAlign w:val="center"/>
          </w:tcPr>
          <w:p>
            <w:pPr>
              <w:pStyle w:val="16"/>
              <w:jc w:val="center"/>
              <w:rPr>
                <w:rFonts w:hint="eastAsia" w:asciiTheme="majorEastAsia" w:hAnsiTheme="majorEastAsia" w:eastAsiaTheme="majorEastAsia" w:cstheme="maj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2" w:hRule="atLeast"/>
        </w:trPr>
        <w:tc>
          <w:tcPr>
            <w:tcW w:w="1031" w:type="dxa"/>
            <w:vMerge w:val="continue"/>
            <w:vAlign w:val="center"/>
          </w:tcPr>
          <w:p>
            <w:pPr>
              <w:pStyle w:val="16"/>
              <w:jc w:val="center"/>
              <w:rPr>
                <w:rFonts w:hint="eastAsia" w:asciiTheme="majorEastAsia" w:hAnsiTheme="majorEastAsia" w:eastAsiaTheme="majorEastAsia" w:cstheme="majorEastAsia"/>
                <w:sz w:val="24"/>
                <w:szCs w:val="24"/>
              </w:rPr>
            </w:pPr>
          </w:p>
        </w:tc>
        <w:tc>
          <w:tcPr>
            <w:tcW w:w="2513" w:type="dxa"/>
            <w:vMerge w:val="continue"/>
            <w:vAlign w:val="center"/>
          </w:tcPr>
          <w:p>
            <w:pPr>
              <w:pStyle w:val="16"/>
              <w:jc w:val="center"/>
              <w:rPr>
                <w:rFonts w:hint="eastAsia" w:asciiTheme="majorEastAsia" w:hAnsiTheme="majorEastAsia" w:eastAsiaTheme="majorEastAsia" w:cstheme="majorEastAsia"/>
                <w:sz w:val="24"/>
                <w:szCs w:val="24"/>
              </w:rPr>
            </w:pPr>
          </w:p>
        </w:tc>
        <w:tc>
          <w:tcPr>
            <w:tcW w:w="3286" w:type="dxa"/>
            <w:vAlign w:val="center"/>
          </w:tcPr>
          <w:p>
            <w:pPr>
              <w:pStyle w:val="16"/>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安全生产</w:t>
            </w:r>
          </w:p>
        </w:tc>
        <w:tc>
          <w:tcPr>
            <w:tcW w:w="1614" w:type="dxa"/>
            <w:vAlign w:val="center"/>
          </w:tcPr>
          <w:p>
            <w:pPr>
              <w:pStyle w:val="16"/>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7%</w:t>
            </w:r>
          </w:p>
        </w:tc>
        <w:tc>
          <w:tcPr>
            <w:tcW w:w="1900" w:type="dxa"/>
            <w:vAlign w:val="center"/>
          </w:tcPr>
          <w:p>
            <w:pPr>
              <w:pStyle w:val="16"/>
              <w:jc w:val="center"/>
              <w:rPr>
                <w:rFonts w:hint="eastAsia" w:asciiTheme="majorEastAsia" w:hAnsiTheme="majorEastAsia" w:eastAsiaTheme="majorEastAsia" w:cstheme="majorEastAsia"/>
                <w:sz w:val="24"/>
                <w:szCs w:val="24"/>
              </w:rPr>
            </w:pPr>
          </w:p>
        </w:tc>
        <w:tc>
          <w:tcPr>
            <w:tcW w:w="1886" w:type="dxa"/>
            <w:vAlign w:val="center"/>
          </w:tcPr>
          <w:p>
            <w:pPr>
              <w:pStyle w:val="16"/>
              <w:jc w:val="center"/>
              <w:rPr>
                <w:rFonts w:hint="eastAsia" w:asciiTheme="majorEastAsia" w:hAnsiTheme="majorEastAsia" w:eastAsiaTheme="majorEastAsia" w:cstheme="majorEastAsia"/>
                <w:sz w:val="24"/>
                <w:szCs w:val="24"/>
              </w:rPr>
            </w:pPr>
          </w:p>
        </w:tc>
        <w:tc>
          <w:tcPr>
            <w:tcW w:w="1770" w:type="dxa"/>
            <w:vAlign w:val="center"/>
          </w:tcPr>
          <w:p>
            <w:pPr>
              <w:pStyle w:val="16"/>
              <w:jc w:val="center"/>
              <w:rPr>
                <w:rFonts w:hint="eastAsia" w:asciiTheme="majorEastAsia" w:hAnsiTheme="majorEastAsia" w:eastAsiaTheme="majorEastAsia" w:cstheme="maj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2" w:hRule="atLeast"/>
        </w:trPr>
        <w:tc>
          <w:tcPr>
            <w:tcW w:w="1031" w:type="dxa"/>
            <w:vMerge w:val="restart"/>
            <w:vAlign w:val="center"/>
          </w:tcPr>
          <w:p>
            <w:pPr>
              <w:pStyle w:val="16"/>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w:t>
            </w:r>
          </w:p>
        </w:tc>
        <w:tc>
          <w:tcPr>
            <w:tcW w:w="2513" w:type="dxa"/>
            <w:vMerge w:val="restart"/>
            <w:vAlign w:val="center"/>
          </w:tcPr>
          <w:p>
            <w:pPr>
              <w:pStyle w:val="16"/>
              <w:jc w:val="center"/>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sz w:val="24"/>
                <w:szCs w:val="24"/>
              </w:rPr>
              <w:t>园区发展（40%）</w:t>
            </w:r>
          </w:p>
        </w:tc>
        <w:tc>
          <w:tcPr>
            <w:tcW w:w="3286" w:type="dxa"/>
            <w:vAlign w:val="center"/>
          </w:tcPr>
          <w:p>
            <w:pPr>
              <w:pStyle w:val="16"/>
              <w:jc w:val="center"/>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sz w:val="24"/>
                <w:szCs w:val="24"/>
              </w:rPr>
              <w:t>管理规范程度</w:t>
            </w:r>
          </w:p>
        </w:tc>
        <w:tc>
          <w:tcPr>
            <w:tcW w:w="1614" w:type="dxa"/>
            <w:vAlign w:val="center"/>
          </w:tcPr>
          <w:p>
            <w:pPr>
              <w:pStyle w:val="16"/>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8%</w:t>
            </w:r>
          </w:p>
        </w:tc>
        <w:tc>
          <w:tcPr>
            <w:tcW w:w="1900" w:type="dxa"/>
            <w:vAlign w:val="center"/>
          </w:tcPr>
          <w:p>
            <w:pPr>
              <w:pStyle w:val="16"/>
              <w:jc w:val="center"/>
              <w:rPr>
                <w:rFonts w:hint="eastAsia" w:asciiTheme="majorEastAsia" w:hAnsiTheme="majorEastAsia" w:eastAsiaTheme="majorEastAsia" w:cstheme="majorEastAsia"/>
                <w:sz w:val="24"/>
                <w:szCs w:val="24"/>
              </w:rPr>
            </w:pPr>
          </w:p>
        </w:tc>
        <w:tc>
          <w:tcPr>
            <w:tcW w:w="1886" w:type="dxa"/>
            <w:vAlign w:val="center"/>
          </w:tcPr>
          <w:p>
            <w:pPr>
              <w:pStyle w:val="16"/>
              <w:jc w:val="center"/>
              <w:rPr>
                <w:rFonts w:hint="eastAsia" w:asciiTheme="majorEastAsia" w:hAnsiTheme="majorEastAsia" w:eastAsiaTheme="majorEastAsia" w:cstheme="majorEastAsia"/>
                <w:sz w:val="24"/>
                <w:szCs w:val="24"/>
              </w:rPr>
            </w:pPr>
          </w:p>
        </w:tc>
        <w:tc>
          <w:tcPr>
            <w:tcW w:w="1770" w:type="dxa"/>
            <w:vAlign w:val="center"/>
          </w:tcPr>
          <w:p>
            <w:pPr>
              <w:pStyle w:val="16"/>
              <w:jc w:val="center"/>
              <w:rPr>
                <w:rFonts w:hint="eastAsia" w:asciiTheme="majorEastAsia" w:hAnsiTheme="majorEastAsia" w:eastAsiaTheme="majorEastAsia" w:cstheme="maj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2" w:hRule="atLeast"/>
        </w:trPr>
        <w:tc>
          <w:tcPr>
            <w:tcW w:w="1031" w:type="dxa"/>
            <w:vMerge w:val="continue"/>
            <w:vAlign w:val="center"/>
          </w:tcPr>
          <w:p>
            <w:pPr>
              <w:pStyle w:val="16"/>
              <w:jc w:val="center"/>
              <w:rPr>
                <w:rFonts w:hint="eastAsia" w:asciiTheme="majorEastAsia" w:hAnsiTheme="majorEastAsia" w:eastAsiaTheme="majorEastAsia" w:cstheme="majorEastAsia"/>
                <w:sz w:val="24"/>
                <w:szCs w:val="24"/>
              </w:rPr>
            </w:pPr>
          </w:p>
        </w:tc>
        <w:tc>
          <w:tcPr>
            <w:tcW w:w="2513" w:type="dxa"/>
            <w:vMerge w:val="continue"/>
            <w:vAlign w:val="center"/>
          </w:tcPr>
          <w:p>
            <w:pPr>
              <w:pStyle w:val="16"/>
              <w:jc w:val="center"/>
              <w:rPr>
                <w:rFonts w:hint="eastAsia" w:asciiTheme="majorEastAsia" w:hAnsiTheme="majorEastAsia" w:eastAsiaTheme="majorEastAsia" w:cstheme="majorEastAsia"/>
                <w:sz w:val="24"/>
                <w:szCs w:val="24"/>
              </w:rPr>
            </w:pPr>
          </w:p>
        </w:tc>
        <w:tc>
          <w:tcPr>
            <w:tcW w:w="3286" w:type="dxa"/>
            <w:vAlign w:val="center"/>
          </w:tcPr>
          <w:p>
            <w:pPr>
              <w:pStyle w:val="16"/>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主导产业营业收入占比</w:t>
            </w:r>
          </w:p>
        </w:tc>
        <w:tc>
          <w:tcPr>
            <w:tcW w:w="1614" w:type="dxa"/>
            <w:vAlign w:val="center"/>
          </w:tcPr>
          <w:p>
            <w:pPr>
              <w:pStyle w:val="16"/>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12%</w:t>
            </w:r>
          </w:p>
        </w:tc>
        <w:tc>
          <w:tcPr>
            <w:tcW w:w="1900" w:type="dxa"/>
            <w:vAlign w:val="center"/>
          </w:tcPr>
          <w:p>
            <w:pPr>
              <w:pStyle w:val="16"/>
              <w:jc w:val="center"/>
              <w:rPr>
                <w:rFonts w:hint="eastAsia" w:asciiTheme="majorEastAsia" w:hAnsiTheme="majorEastAsia" w:eastAsiaTheme="majorEastAsia" w:cstheme="majorEastAsia"/>
                <w:sz w:val="24"/>
                <w:szCs w:val="24"/>
              </w:rPr>
            </w:pPr>
          </w:p>
        </w:tc>
        <w:tc>
          <w:tcPr>
            <w:tcW w:w="1886" w:type="dxa"/>
            <w:vAlign w:val="center"/>
          </w:tcPr>
          <w:p>
            <w:pPr>
              <w:pStyle w:val="16"/>
              <w:jc w:val="center"/>
              <w:rPr>
                <w:rFonts w:hint="eastAsia" w:asciiTheme="majorEastAsia" w:hAnsiTheme="majorEastAsia" w:eastAsiaTheme="majorEastAsia" w:cstheme="majorEastAsia"/>
                <w:sz w:val="24"/>
                <w:szCs w:val="24"/>
              </w:rPr>
            </w:pPr>
          </w:p>
        </w:tc>
        <w:tc>
          <w:tcPr>
            <w:tcW w:w="1770" w:type="dxa"/>
            <w:vAlign w:val="center"/>
          </w:tcPr>
          <w:p>
            <w:pPr>
              <w:pStyle w:val="16"/>
              <w:jc w:val="center"/>
              <w:rPr>
                <w:rFonts w:hint="eastAsia" w:asciiTheme="majorEastAsia" w:hAnsiTheme="majorEastAsia" w:eastAsiaTheme="majorEastAsia" w:cstheme="maj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5" w:hRule="atLeast"/>
        </w:trPr>
        <w:tc>
          <w:tcPr>
            <w:tcW w:w="1031" w:type="dxa"/>
            <w:vMerge w:val="continue"/>
            <w:vAlign w:val="center"/>
          </w:tcPr>
          <w:p>
            <w:pPr>
              <w:pStyle w:val="16"/>
              <w:jc w:val="center"/>
              <w:rPr>
                <w:rFonts w:hint="eastAsia" w:asciiTheme="majorEastAsia" w:hAnsiTheme="majorEastAsia" w:eastAsiaTheme="majorEastAsia" w:cstheme="majorEastAsia"/>
                <w:sz w:val="24"/>
                <w:szCs w:val="24"/>
              </w:rPr>
            </w:pPr>
          </w:p>
        </w:tc>
        <w:tc>
          <w:tcPr>
            <w:tcW w:w="2513" w:type="dxa"/>
            <w:vMerge w:val="continue"/>
            <w:vAlign w:val="center"/>
          </w:tcPr>
          <w:p>
            <w:pPr>
              <w:pStyle w:val="16"/>
              <w:jc w:val="center"/>
              <w:rPr>
                <w:rFonts w:hint="eastAsia" w:asciiTheme="majorEastAsia" w:hAnsiTheme="majorEastAsia" w:eastAsiaTheme="majorEastAsia" w:cstheme="majorEastAsia"/>
                <w:sz w:val="24"/>
                <w:szCs w:val="24"/>
              </w:rPr>
            </w:pPr>
          </w:p>
        </w:tc>
        <w:tc>
          <w:tcPr>
            <w:tcW w:w="3286" w:type="dxa"/>
            <w:vAlign w:val="center"/>
          </w:tcPr>
          <w:p>
            <w:pPr>
              <w:pStyle w:val="16"/>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产业培育情况</w:t>
            </w:r>
          </w:p>
          <w:p>
            <w:pPr>
              <w:pStyle w:val="16"/>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（包括培育高新科技及骨干</w:t>
            </w:r>
          </w:p>
          <w:p>
            <w:pPr>
              <w:pStyle w:val="16"/>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企业情况、市场影响力</w:t>
            </w:r>
            <w:r>
              <w:rPr>
                <w:rFonts w:hint="eastAsia" w:asciiTheme="majorEastAsia" w:hAnsiTheme="majorEastAsia" w:eastAsiaTheme="majorEastAsia" w:cstheme="majorEastAsia"/>
                <w:sz w:val="24"/>
                <w:szCs w:val="24"/>
              </w:rPr>
              <w:t>、</w:t>
            </w:r>
            <w:r>
              <w:rPr>
                <w:rFonts w:hint="eastAsia" w:asciiTheme="majorEastAsia" w:hAnsiTheme="majorEastAsia" w:eastAsiaTheme="majorEastAsia" w:cstheme="majorEastAsia"/>
                <w:sz w:val="24"/>
                <w:szCs w:val="24"/>
              </w:rPr>
              <w:t>产业链完备</w:t>
            </w:r>
            <w:r>
              <w:rPr>
                <w:rFonts w:hint="eastAsia" w:asciiTheme="majorEastAsia" w:hAnsiTheme="majorEastAsia" w:eastAsiaTheme="majorEastAsia" w:cstheme="majorEastAsia"/>
                <w:sz w:val="24"/>
                <w:szCs w:val="24"/>
              </w:rPr>
              <w:t>度、产业配套</w:t>
            </w:r>
            <w:r>
              <w:rPr>
                <w:rFonts w:hint="eastAsia" w:asciiTheme="majorEastAsia" w:hAnsiTheme="majorEastAsia" w:eastAsiaTheme="majorEastAsia" w:cstheme="majorEastAsia"/>
                <w:sz w:val="24"/>
                <w:szCs w:val="24"/>
              </w:rPr>
              <w:t>等，但</w:t>
            </w:r>
            <w:r>
              <w:rPr>
                <w:rFonts w:hint="eastAsia" w:asciiTheme="majorEastAsia" w:hAnsiTheme="majorEastAsia" w:eastAsiaTheme="majorEastAsia" w:cstheme="majorEastAsia"/>
                <w:sz w:val="24"/>
                <w:szCs w:val="24"/>
              </w:rPr>
              <w:t>不限于</w:t>
            </w:r>
            <w:r>
              <w:rPr>
                <w:rFonts w:hint="eastAsia" w:asciiTheme="majorEastAsia" w:hAnsiTheme="majorEastAsia" w:eastAsiaTheme="majorEastAsia" w:cstheme="majorEastAsia"/>
                <w:sz w:val="24"/>
                <w:szCs w:val="24"/>
              </w:rPr>
              <w:t>）</w:t>
            </w:r>
          </w:p>
        </w:tc>
        <w:tc>
          <w:tcPr>
            <w:tcW w:w="1614" w:type="dxa"/>
            <w:vAlign w:val="center"/>
          </w:tcPr>
          <w:p>
            <w:pPr>
              <w:pStyle w:val="16"/>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10</w:t>
            </w:r>
            <w:r>
              <w:rPr>
                <w:rFonts w:hint="eastAsia" w:asciiTheme="majorEastAsia" w:hAnsiTheme="majorEastAsia" w:eastAsiaTheme="majorEastAsia" w:cstheme="majorEastAsia"/>
                <w:sz w:val="24"/>
                <w:szCs w:val="24"/>
              </w:rPr>
              <w:t>%</w:t>
            </w:r>
          </w:p>
        </w:tc>
        <w:tc>
          <w:tcPr>
            <w:tcW w:w="1900" w:type="dxa"/>
            <w:vAlign w:val="center"/>
          </w:tcPr>
          <w:p>
            <w:pPr>
              <w:pStyle w:val="16"/>
              <w:jc w:val="center"/>
              <w:rPr>
                <w:rFonts w:hint="eastAsia" w:asciiTheme="majorEastAsia" w:hAnsiTheme="majorEastAsia" w:eastAsiaTheme="majorEastAsia" w:cstheme="majorEastAsia"/>
                <w:sz w:val="24"/>
                <w:szCs w:val="24"/>
              </w:rPr>
            </w:pPr>
          </w:p>
        </w:tc>
        <w:tc>
          <w:tcPr>
            <w:tcW w:w="1886" w:type="dxa"/>
            <w:vAlign w:val="center"/>
          </w:tcPr>
          <w:p>
            <w:pPr>
              <w:pStyle w:val="16"/>
              <w:jc w:val="center"/>
              <w:rPr>
                <w:rFonts w:hint="eastAsia" w:asciiTheme="majorEastAsia" w:hAnsiTheme="majorEastAsia" w:eastAsiaTheme="majorEastAsia" w:cstheme="majorEastAsia"/>
                <w:sz w:val="24"/>
                <w:szCs w:val="24"/>
              </w:rPr>
            </w:pPr>
          </w:p>
        </w:tc>
        <w:tc>
          <w:tcPr>
            <w:tcW w:w="1770" w:type="dxa"/>
            <w:vAlign w:val="center"/>
          </w:tcPr>
          <w:p>
            <w:pPr>
              <w:pStyle w:val="16"/>
              <w:jc w:val="center"/>
              <w:rPr>
                <w:rFonts w:hint="eastAsia" w:asciiTheme="majorEastAsia" w:hAnsiTheme="majorEastAsia" w:eastAsiaTheme="majorEastAsia" w:cstheme="maj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20" w:hRule="atLeast"/>
        </w:trPr>
        <w:tc>
          <w:tcPr>
            <w:tcW w:w="1031" w:type="dxa"/>
            <w:vMerge w:val="continue"/>
            <w:vAlign w:val="center"/>
          </w:tcPr>
          <w:p>
            <w:pPr>
              <w:pStyle w:val="16"/>
              <w:jc w:val="center"/>
              <w:rPr>
                <w:rFonts w:hint="eastAsia" w:asciiTheme="majorEastAsia" w:hAnsiTheme="majorEastAsia" w:eastAsiaTheme="majorEastAsia" w:cstheme="majorEastAsia"/>
                <w:sz w:val="24"/>
                <w:szCs w:val="24"/>
              </w:rPr>
            </w:pPr>
          </w:p>
        </w:tc>
        <w:tc>
          <w:tcPr>
            <w:tcW w:w="2513" w:type="dxa"/>
            <w:vMerge w:val="continue"/>
            <w:vAlign w:val="center"/>
          </w:tcPr>
          <w:p>
            <w:pPr>
              <w:pStyle w:val="16"/>
              <w:jc w:val="center"/>
              <w:rPr>
                <w:rFonts w:hint="eastAsia" w:asciiTheme="majorEastAsia" w:hAnsiTheme="majorEastAsia" w:eastAsiaTheme="majorEastAsia" w:cstheme="majorEastAsia"/>
                <w:b/>
                <w:sz w:val="24"/>
                <w:szCs w:val="24"/>
              </w:rPr>
            </w:pPr>
          </w:p>
        </w:tc>
        <w:tc>
          <w:tcPr>
            <w:tcW w:w="3286" w:type="dxa"/>
            <w:vAlign w:val="center"/>
          </w:tcPr>
          <w:p>
            <w:pPr>
              <w:pStyle w:val="16"/>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
                <w:sz w:val="24"/>
                <w:szCs w:val="24"/>
              </w:rPr>
              <w:t>适用于七大</w:t>
            </w:r>
            <w:r>
              <w:rPr>
                <w:rFonts w:hint="eastAsia" w:asciiTheme="majorEastAsia" w:hAnsiTheme="majorEastAsia" w:eastAsiaTheme="majorEastAsia" w:cstheme="majorEastAsia"/>
                <w:b/>
                <w:sz w:val="24"/>
                <w:szCs w:val="24"/>
              </w:rPr>
              <w:t>战略性新兴产业</w:t>
            </w:r>
            <w:r>
              <w:rPr>
                <w:rFonts w:hint="eastAsia" w:asciiTheme="majorEastAsia" w:hAnsiTheme="majorEastAsia" w:eastAsiaTheme="majorEastAsia" w:cstheme="majorEastAsia"/>
                <w:b/>
                <w:sz w:val="24"/>
                <w:szCs w:val="24"/>
              </w:rPr>
              <w:t>：</w:t>
            </w:r>
            <w:r>
              <w:rPr>
                <w:rFonts w:hint="eastAsia" w:asciiTheme="majorEastAsia" w:hAnsiTheme="majorEastAsia" w:eastAsiaTheme="majorEastAsia" w:cstheme="majorEastAsia"/>
                <w:sz w:val="24"/>
                <w:szCs w:val="24"/>
              </w:rPr>
              <w:t>研发投入强度、</w:t>
            </w:r>
            <w:r>
              <w:rPr>
                <w:rFonts w:hint="eastAsia" w:asciiTheme="majorEastAsia" w:hAnsiTheme="majorEastAsia" w:eastAsiaTheme="majorEastAsia" w:cstheme="majorEastAsia"/>
                <w:bCs/>
                <w:sz w:val="24"/>
                <w:szCs w:val="24"/>
              </w:rPr>
              <w:t>每万人发明专利授权量等，</w:t>
            </w:r>
            <w:r>
              <w:rPr>
                <w:rFonts w:hint="eastAsia" w:asciiTheme="majorEastAsia" w:hAnsiTheme="majorEastAsia" w:eastAsiaTheme="majorEastAsia" w:cstheme="majorEastAsia"/>
                <w:sz w:val="24"/>
                <w:szCs w:val="24"/>
              </w:rPr>
              <w:t>包括但</w:t>
            </w:r>
            <w:r>
              <w:rPr>
                <w:rFonts w:hint="eastAsia" w:asciiTheme="majorEastAsia" w:hAnsiTheme="majorEastAsia" w:eastAsiaTheme="majorEastAsia" w:cstheme="majorEastAsia"/>
                <w:sz w:val="24"/>
                <w:szCs w:val="24"/>
              </w:rPr>
              <w:t>不限于</w:t>
            </w:r>
          </w:p>
          <w:p>
            <w:pPr>
              <w:pStyle w:val="16"/>
              <w:jc w:val="left"/>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b/>
                <w:bCs/>
                <w:sz w:val="24"/>
                <w:szCs w:val="24"/>
              </w:rPr>
              <w:t>适用于</w:t>
            </w:r>
            <w:r>
              <w:rPr>
                <w:rFonts w:hint="eastAsia" w:asciiTheme="majorEastAsia" w:hAnsiTheme="majorEastAsia" w:eastAsiaTheme="majorEastAsia" w:cstheme="majorEastAsia"/>
                <w:b/>
                <w:bCs/>
                <w:sz w:val="24"/>
                <w:szCs w:val="24"/>
              </w:rPr>
              <w:t>跨境电商行业</w:t>
            </w:r>
            <w:r>
              <w:rPr>
                <w:rFonts w:hint="eastAsia" w:asciiTheme="majorEastAsia" w:hAnsiTheme="majorEastAsia" w:eastAsiaTheme="majorEastAsia" w:cstheme="majorEastAsia"/>
                <w:b/>
                <w:bCs/>
                <w:sz w:val="24"/>
                <w:szCs w:val="24"/>
              </w:rPr>
              <w:t>：</w:t>
            </w:r>
            <w:r>
              <w:rPr>
                <w:rFonts w:hint="eastAsia" w:asciiTheme="majorEastAsia" w:hAnsiTheme="majorEastAsia" w:eastAsiaTheme="majorEastAsia" w:cstheme="majorEastAsia"/>
                <w:sz w:val="24"/>
                <w:szCs w:val="24"/>
              </w:rPr>
              <w:t>跨境电商</w:t>
            </w:r>
            <w:r>
              <w:rPr>
                <w:rFonts w:hint="eastAsia" w:asciiTheme="majorEastAsia" w:hAnsiTheme="majorEastAsia" w:eastAsiaTheme="majorEastAsia" w:cstheme="majorEastAsia"/>
                <w:sz w:val="24"/>
                <w:szCs w:val="24"/>
              </w:rPr>
              <w:t>进出口额增速</w:t>
            </w:r>
            <w:r>
              <w:rPr>
                <w:rFonts w:hint="eastAsia" w:asciiTheme="majorEastAsia" w:hAnsiTheme="majorEastAsia" w:eastAsiaTheme="majorEastAsia" w:cstheme="majorEastAsia"/>
                <w:sz w:val="24"/>
                <w:szCs w:val="24"/>
              </w:rPr>
              <w:t>、</w:t>
            </w:r>
            <w:r>
              <w:rPr>
                <w:rFonts w:hint="eastAsia" w:asciiTheme="majorEastAsia" w:hAnsiTheme="majorEastAsia" w:eastAsiaTheme="majorEastAsia" w:cstheme="majorEastAsia"/>
                <w:sz w:val="24"/>
                <w:szCs w:val="24"/>
              </w:rPr>
              <w:t>跨境电商入驻企业数</w:t>
            </w:r>
            <w:r>
              <w:rPr>
                <w:rFonts w:hint="eastAsia" w:asciiTheme="majorEastAsia" w:hAnsiTheme="majorEastAsia" w:eastAsiaTheme="majorEastAsia" w:cstheme="majorEastAsia"/>
                <w:sz w:val="24"/>
                <w:szCs w:val="24"/>
              </w:rPr>
              <w:t>等，包括但</w:t>
            </w:r>
            <w:r>
              <w:rPr>
                <w:rFonts w:hint="eastAsia" w:asciiTheme="majorEastAsia" w:hAnsiTheme="majorEastAsia" w:eastAsiaTheme="majorEastAsia" w:cstheme="majorEastAsia"/>
                <w:sz w:val="24"/>
                <w:szCs w:val="24"/>
              </w:rPr>
              <w:t>不限于</w:t>
            </w:r>
          </w:p>
        </w:tc>
        <w:tc>
          <w:tcPr>
            <w:tcW w:w="1614" w:type="dxa"/>
            <w:vAlign w:val="center"/>
          </w:tcPr>
          <w:p>
            <w:pPr>
              <w:pStyle w:val="16"/>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10</w:t>
            </w:r>
            <w:r>
              <w:rPr>
                <w:rFonts w:hint="eastAsia" w:asciiTheme="majorEastAsia" w:hAnsiTheme="majorEastAsia" w:eastAsiaTheme="majorEastAsia" w:cstheme="majorEastAsia"/>
                <w:sz w:val="24"/>
                <w:szCs w:val="24"/>
              </w:rPr>
              <w:t>%</w:t>
            </w:r>
          </w:p>
          <w:p>
            <w:pPr>
              <w:bidi w:val="0"/>
              <w:rPr>
                <w:rFonts w:hint="eastAsia"/>
              </w:rPr>
            </w:pPr>
          </w:p>
          <w:p>
            <w:pPr>
              <w:bidi w:val="0"/>
              <w:jc w:val="right"/>
              <w:rPr>
                <w:rFonts w:hint="eastAsia"/>
              </w:rPr>
            </w:pPr>
            <w:bookmarkStart w:id="0" w:name="_GoBack"/>
            <w:bookmarkEnd w:id="0"/>
          </w:p>
        </w:tc>
        <w:tc>
          <w:tcPr>
            <w:tcW w:w="1900" w:type="dxa"/>
            <w:vAlign w:val="center"/>
          </w:tcPr>
          <w:p>
            <w:pPr>
              <w:pStyle w:val="16"/>
              <w:jc w:val="center"/>
              <w:rPr>
                <w:rFonts w:hint="eastAsia" w:asciiTheme="majorEastAsia" w:hAnsiTheme="majorEastAsia" w:eastAsiaTheme="majorEastAsia" w:cstheme="majorEastAsia"/>
                <w:sz w:val="24"/>
                <w:szCs w:val="24"/>
              </w:rPr>
            </w:pPr>
          </w:p>
        </w:tc>
        <w:tc>
          <w:tcPr>
            <w:tcW w:w="1886" w:type="dxa"/>
            <w:vAlign w:val="center"/>
          </w:tcPr>
          <w:p>
            <w:pPr>
              <w:pStyle w:val="16"/>
              <w:jc w:val="center"/>
              <w:rPr>
                <w:rFonts w:hint="eastAsia" w:asciiTheme="majorEastAsia" w:hAnsiTheme="majorEastAsia" w:eastAsiaTheme="majorEastAsia" w:cstheme="majorEastAsia"/>
                <w:sz w:val="24"/>
                <w:szCs w:val="24"/>
              </w:rPr>
            </w:pPr>
          </w:p>
        </w:tc>
        <w:tc>
          <w:tcPr>
            <w:tcW w:w="1770" w:type="dxa"/>
            <w:vAlign w:val="center"/>
          </w:tcPr>
          <w:p>
            <w:pPr>
              <w:pStyle w:val="16"/>
              <w:jc w:val="center"/>
              <w:rPr>
                <w:rFonts w:hint="eastAsia" w:asciiTheme="majorEastAsia" w:hAnsiTheme="majorEastAsia" w:eastAsiaTheme="majorEastAsia" w:cstheme="maj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2" w:hRule="atLeast"/>
        </w:trPr>
        <w:tc>
          <w:tcPr>
            <w:tcW w:w="1031" w:type="dxa"/>
            <w:vMerge w:val="restart"/>
            <w:vAlign w:val="center"/>
          </w:tcPr>
          <w:p>
            <w:pPr>
              <w:pStyle w:val="16"/>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w:t>
            </w:r>
          </w:p>
        </w:tc>
        <w:tc>
          <w:tcPr>
            <w:tcW w:w="2513" w:type="dxa"/>
            <w:vMerge w:val="restart"/>
            <w:vAlign w:val="center"/>
          </w:tcPr>
          <w:p>
            <w:pPr>
              <w:pStyle w:val="16"/>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园区产出（40%）</w:t>
            </w:r>
          </w:p>
        </w:tc>
        <w:tc>
          <w:tcPr>
            <w:tcW w:w="3286" w:type="dxa"/>
            <w:vAlign w:val="center"/>
          </w:tcPr>
          <w:p>
            <w:pPr>
              <w:pStyle w:val="16"/>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土地</w:t>
            </w:r>
            <w:r>
              <w:rPr>
                <w:rFonts w:hint="eastAsia" w:asciiTheme="majorEastAsia" w:hAnsiTheme="majorEastAsia" w:eastAsiaTheme="majorEastAsia" w:cstheme="majorEastAsia"/>
                <w:sz w:val="24"/>
                <w:szCs w:val="24"/>
              </w:rPr>
              <w:t>产出率</w:t>
            </w:r>
          </w:p>
        </w:tc>
        <w:tc>
          <w:tcPr>
            <w:tcW w:w="1614" w:type="dxa"/>
            <w:vAlign w:val="center"/>
          </w:tcPr>
          <w:p>
            <w:pPr>
              <w:pStyle w:val="16"/>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20%</w:t>
            </w:r>
          </w:p>
        </w:tc>
        <w:tc>
          <w:tcPr>
            <w:tcW w:w="1900" w:type="dxa"/>
            <w:vAlign w:val="center"/>
          </w:tcPr>
          <w:p>
            <w:pPr>
              <w:pStyle w:val="16"/>
              <w:jc w:val="center"/>
              <w:rPr>
                <w:rFonts w:hint="eastAsia" w:asciiTheme="majorEastAsia" w:hAnsiTheme="majorEastAsia" w:eastAsiaTheme="majorEastAsia" w:cstheme="majorEastAsia"/>
                <w:sz w:val="24"/>
                <w:szCs w:val="24"/>
              </w:rPr>
            </w:pPr>
          </w:p>
        </w:tc>
        <w:tc>
          <w:tcPr>
            <w:tcW w:w="1886" w:type="dxa"/>
            <w:vAlign w:val="center"/>
          </w:tcPr>
          <w:p>
            <w:pPr>
              <w:pStyle w:val="16"/>
              <w:jc w:val="center"/>
              <w:rPr>
                <w:rFonts w:hint="eastAsia" w:asciiTheme="majorEastAsia" w:hAnsiTheme="majorEastAsia" w:eastAsiaTheme="majorEastAsia" w:cstheme="majorEastAsia"/>
                <w:sz w:val="24"/>
                <w:szCs w:val="24"/>
              </w:rPr>
            </w:pPr>
          </w:p>
        </w:tc>
        <w:tc>
          <w:tcPr>
            <w:tcW w:w="1770" w:type="dxa"/>
            <w:vAlign w:val="center"/>
          </w:tcPr>
          <w:p>
            <w:pPr>
              <w:pStyle w:val="16"/>
              <w:jc w:val="center"/>
              <w:rPr>
                <w:rFonts w:hint="eastAsia" w:asciiTheme="majorEastAsia" w:hAnsiTheme="majorEastAsia" w:eastAsiaTheme="majorEastAsia" w:cstheme="maj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3" w:hRule="atLeast"/>
        </w:trPr>
        <w:tc>
          <w:tcPr>
            <w:tcW w:w="1031" w:type="dxa"/>
            <w:vMerge w:val="continue"/>
            <w:vAlign w:val="center"/>
          </w:tcPr>
          <w:p>
            <w:pPr>
              <w:pStyle w:val="16"/>
              <w:jc w:val="center"/>
              <w:rPr>
                <w:rFonts w:hint="eastAsia" w:asciiTheme="majorEastAsia" w:hAnsiTheme="majorEastAsia" w:eastAsiaTheme="majorEastAsia" w:cstheme="majorEastAsia"/>
                <w:sz w:val="24"/>
                <w:szCs w:val="24"/>
              </w:rPr>
            </w:pPr>
          </w:p>
        </w:tc>
        <w:tc>
          <w:tcPr>
            <w:tcW w:w="2513" w:type="dxa"/>
            <w:vMerge w:val="continue"/>
            <w:vAlign w:val="center"/>
          </w:tcPr>
          <w:p>
            <w:pPr>
              <w:pStyle w:val="16"/>
              <w:jc w:val="center"/>
              <w:rPr>
                <w:rFonts w:hint="eastAsia" w:asciiTheme="majorEastAsia" w:hAnsiTheme="majorEastAsia" w:eastAsiaTheme="majorEastAsia" w:cstheme="majorEastAsia"/>
                <w:sz w:val="24"/>
                <w:szCs w:val="24"/>
              </w:rPr>
            </w:pPr>
          </w:p>
        </w:tc>
        <w:tc>
          <w:tcPr>
            <w:tcW w:w="3286" w:type="dxa"/>
            <w:vAlign w:val="center"/>
          </w:tcPr>
          <w:p>
            <w:pPr>
              <w:pStyle w:val="16"/>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地均税收</w:t>
            </w:r>
          </w:p>
        </w:tc>
        <w:tc>
          <w:tcPr>
            <w:tcW w:w="1614" w:type="dxa"/>
            <w:vAlign w:val="center"/>
          </w:tcPr>
          <w:p>
            <w:pPr>
              <w:pStyle w:val="16"/>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20%</w:t>
            </w:r>
          </w:p>
        </w:tc>
        <w:tc>
          <w:tcPr>
            <w:tcW w:w="1900" w:type="dxa"/>
            <w:vAlign w:val="center"/>
          </w:tcPr>
          <w:p>
            <w:pPr>
              <w:pStyle w:val="16"/>
              <w:jc w:val="center"/>
              <w:rPr>
                <w:rFonts w:hint="eastAsia" w:asciiTheme="majorEastAsia" w:hAnsiTheme="majorEastAsia" w:eastAsiaTheme="majorEastAsia" w:cstheme="majorEastAsia"/>
                <w:sz w:val="24"/>
                <w:szCs w:val="24"/>
              </w:rPr>
            </w:pPr>
          </w:p>
        </w:tc>
        <w:tc>
          <w:tcPr>
            <w:tcW w:w="1886" w:type="dxa"/>
            <w:vAlign w:val="center"/>
          </w:tcPr>
          <w:p>
            <w:pPr>
              <w:pStyle w:val="16"/>
              <w:jc w:val="center"/>
              <w:rPr>
                <w:rFonts w:hint="eastAsia" w:asciiTheme="majorEastAsia" w:hAnsiTheme="majorEastAsia" w:eastAsiaTheme="majorEastAsia" w:cstheme="majorEastAsia"/>
                <w:sz w:val="24"/>
                <w:szCs w:val="24"/>
              </w:rPr>
            </w:pPr>
          </w:p>
        </w:tc>
        <w:tc>
          <w:tcPr>
            <w:tcW w:w="1770" w:type="dxa"/>
            <w:vAlign w:val="center"/>
          </w:tcPr>
          <w:p>
            <w:pPr>
              <w:pStyle w:val="16"/>
              <w:jc w:val="center"/>
              <w:rPr>
                <w:rFonts w:hint="eastAsia" w:asciiTheme="majorEastAsia" w:hAnsiTheme="majorEastAsia" w:eastAsiaTheme="majorEastAsia" w:cstheme="majorEastAsia"/>
                <w:sz w:val="24"/>
                <w:szCs w:val="24"/>
              </w:rPr>
            </w:pPr>
          </w:p>
        </w:tc>
      </w:tr>
    </w:tbl>
    <w:p>
      <w:pPr>
        <w:jc w:val="both"/>
        <w:rPr>
          <w:rFonts w:hint="eastAsia" w:asciiTheme="majorEastAsia" w:hAnsiTheme="majorEastAsia" w:eastAsiaTheme="majorEastAsia" w:cstheme="majorEastAsia"/>
          <w:sz w:val="24"/>
          <w:szCs w:val="24"/>
          <w:lang w:val="en-US" w:eastAsia="zh-CN"/>
        </w:rPr>
      </w:pPr>
    </w:p>
    <w:sectPr>
      <w:footerReference r:id="rId5" w:type="default"/>
      <w:pgSz w:w="16838" w:h="11906" w:orient="landscape"/>
      <w:pgMar w:top="1800" w:right="1440" w:bottom="1800" w:left="144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26584526"/>
      <w:docPartObj>
        <w:docPartGallery w:val="autotext"/>
      </w:docPartObj>
    </w:sdtPr>
    <w:sdtContent>
      <w:p>
        <w:pPr>
          <w:pStyle w:val="4"/>
          <w:jc w:val="center"/>
        </w:pPr>
        <w:r>
          <w:fldChar w:fldCharType="begin"/>
        </w:r>
        <w:r>
          <w:instrText xml:space="preserve">PAGE   \* MERGEFORMAT</w:instrText>
        </w:r>
        <w:r>
          <w:fldChar w:fldCharType="separate"/>
        </w:r>
        <w:r>
          <w:rPr>
            <w:lang w:val="zh-CN"/>
          </w:rPr>
          <w:t>2</w:t>
        </w:r>
        <w:r>
          <w:fldChar w:fldCharType="end"/>
        </w:r>
      </w:p>
    </w:sdtContent>
  </w:sdt>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5369A"/>
    <w:rsid w:val="000A50FB"/>
    <w:rsid w:val="000B7A3F"/>
    <w:rsid w:val="00100444"/>
    <w:rsid w:val="001321C6"/>
    <w:rsid w:val="00141EA6"/>
    <w:rsid w:val="00165E58"/>
    <w:rsid w:val="00172A27"/>
    <w:rsid w:val="00194A69"/>
    <w:rsid w:val="001D19AA"/>
    <w:rsid w:val="001D2EC7"/>
    <w:rsid w:val="00204BCD"/>
    <w:rsid w:val="00215F3B"/>
    <w:rsid w:val="00270875"/>
    <w:rsid w:val="00290677"/>
    <w:rsid w:val="00291DAB"/>
    <w:rsid w:val="002B4C6C"/>
    <w:rsid w:val="00302333"/>
    <w:rsid w:val="00320F20"/>
    <w:rsid w:val="00363C35"/>
    <w:rsid w:val="00392D88"/>
    <w:rsid w:val="00402103"/>
    <w:rsid w:val="00466514"/>
    <w:rsid w:val="00485AEE"/>
    <w:rsid w:val="0048649D"/>
    <w:rsid w:val="00494E44"/>
    <w:rsid w:val="004B11DD"/>
    <w:rsid w:val="00531707"/>
    <w:rsid w:val="00542C51"/>
    <w:rsid w:val="00574C01"/>
    <w:rsid w:val="00597AA9"/>
    <w:rsid w:val="005B21D0"/>
    <w:rsid w:val="005D1537"/>
    <w:rsid w:val="005D3DBC"/>
    <w:rsid w:val="005D7C65"/>
    <w:rsid w:val="00635A70"/>
    <w:rsid w:val="00663559"/>
    <w:rsid w:val="0068511D"/>
    <w:rsid w:val="006A4A09"/>
    <w:rsid w:val="006A7F14"/>
    <w:rsid w:val="006D610C"/>
    <w:rsid w:val="007459EC"/>
    <w:rsid w:val="00761568"/>
    <w:rsid w:val="00797090"/>
    <w:rsid w:val="007D24D8"/>
    <w:rsid w:val="007F1B40"/>
    <w:rsid w:val="008120AF"/>
    <w:rsid w:val="00870961"/>
    <w:rsid w:val="00874C0F"/>
    <w:rsid w:val="00884D42"/>
    <w:rsid w:val="00891C96"/>
    <w:rsid w:val="008F6817"/>
    <w:rsid w:val="00943CF2"/>
    <w:rsid w:val="009B2C3E"/>
    <w:rsid w:val="009D12B6"/>
    <w:rsid w:val="009E1D16"/>
    <w:rsid w:val="009E6BB4"/>
    <w:rsid w:val="00A03D62"/>
    <w:rsid w:val="00A32998"/>
    <w:rsid w:val="00A92D2F"/>
    <w:rsid w:val="00AB14FA"/>
    <w:rsid w:val="00AB248C"/>
    <w:rsid w:val="00AB5387"/>
    <w:rsid w:val="00AC56C1"/>
    <w:rsid w:val="00AE2CBC"/>
    <w:rsid w:val="00AF5B9B"/>
    <w:rsid w:val="00B016CB"/>
    <w:rsid w:val="00B06735"/>
    <w:rsid w:val="00B1490C"/>
    <w:rsid w:val="00B53B84"/>
    <w:rsid w:val="00B80209"/>
    <w:rsid w:val="00B85D41"/>
    <w:rsid w:val="00B92D80"/>
    <w:rsid w:val="00B9313B"/>
    <w:rsid w:val="00BA4A56"/>
    <w:rsid w:val="00BD25C2"/>
    <w:rsid w:val="00BE416A"/>
    <w:rsid w:val="00BF5126"/>
    <w:rsid w:val="00C10B19"/>
    <w:rsid w:val="00C47BD3"/>
    <w:rsid w:val="00C50A83"/>
    <w:rsid w:val="00C857E6"/>
    <w:rsid w:val="00C9262E"/>
    <w:rsid w:val="00CA45E0"/>
    <w:rsid w:val="00CA6579"/>
    <w:rsid w:val="00CC03EF"/>
    <w:rsid w:val="00CC513B"/>
    <w:rsid w:val="00CD070C"/>
    <w:rsid w:val="00CF4E0D"/>
    <w:rsid w:val="00D120C5"/>
    <w:rsid w:val="00D15817"/>
    <w:rsid w:val="00D17F40"/>
    <w:rsid w:val="00D33B80"/>
    <w:rsid w:val="00D36CB6"/>
    <w:rsid w:val="00D43DA7"/>
    <w:rsid w:val="00D56786"/>
    <w:rsid w:val="00D74442"/>
    <w:rsid w:val="00D8408F"/>
    <w:rsid w:val="00DB0281"/>
    <w:rsid w:val="00DC7967"/>
    <w:rsid w:val="00E17168"/>
    <w:rsid w:val="00E25969"/>
    <w:rsid w:val="00E43375"/>
    <w:rsid w:val="00E46388"/>
    <w:rsid w:val="00E4793B"/>
    <w:rsid w:val="00EB113F"/>
    <w:rsid w:val="00ED2EAB"/>
    <w:rsid w:val="00F050E4"/>
    <w:rsid w:val="00F05D57"/>
    <w:rsid w:val="00F14718"/>
    <w:rsid w:val="00F21F44"/>
    <w:rsid w:val="00F85175"/>
    <w:rsid w:val="00FA48F8"/>
    <w:rsid w:val="00FD047F"/>
    <w:rsid w:val="02004519"/>
    <w:rsid w:val="02782FBA"/>
    <w:rsid w:val="02B751D8"/>
    <w:rsid w:val="037E49ED"/>
    <w:rsid w:val="03991995"/>
    <w:rsid w:val="03A64AE6"/>
    <w:rsid w:val="03BA4652"/>
    <w:rsid w:val="043A0660"/>
    <w:rsid w:val="044B7FA3"/>
    <w:rsid w:val="04BF3C54"/>
    <w:rsid w:val="04BF7029"/>
    <w:rsid w:val="053F0915"/>
    <w:rsid w:val="05DC19EE"/>
    <w:rsid w:val="05DF1E13"/>
    <w:rsid w:val="05F54DAA"/>
    <w:rsid w:val="074B01DC"/>
    <w:rsid w:val="087B4C27"/>
    <w:rsid w:val="08DD7ED7"/>
    <w:rsid w:val="092151D8"/>
    <w:rsid w:val="09C457A0"/>
    <w:rsid w:val="0A1C3F44"/>
    <w:rsid w:val="0AD44A4A"/>
    <w:rsid w:val="0AF62E98"/>
    <w:rsid w:val="0B227F40"/>
    <w:rsid w:val="0C3D03BE"/>
    <w:rsid w:val="0C993FA1"/>
    <w:rsid w:val="0D7966BB"/>
    <w:rsid w:val="0E221FA4"/>
    <w:rsid w:val="0EA15DE8"/>
    <w:rsid w:val="0EA74A02"/>
    <w:rsid w:val="0ED45A4B"/>
    <w:rsid w:val="0F0355C7"/>
    <w:rsid w:val="0F81438E"/>
    <w:rsid w:val="107C1A06"/>
    <w:rsid w:val="10A843CF"/>
    <w:rsid w:val="11F05A5A"/>
    <w:rsid w:val="12135C8E"/>
    <w:rsid w:val="121B2F7E"/>
    <w:rsid w:val="12B26BDF"/>
    <w:rsid w:val="13170085"/>
    <w:rsid w:val="14113E5B"/>
    <w:rsid w:val="14347526"/>
    <w:rsid w:val="146A0B1C"/>
    <w:rsid w:val="14DC4407"/>
    <w:rsid w:val="15164245"/>
    <w:rsid w:val="15B00851"/>
    <w:rsid w:val="16924C04"/>
    <w:rsid w:val="171D20F9"/>
    <w:rsid w:val="17570A5C"/>
    <w:rsid w:val="1777487F"/>
    <w:rsid w:val="179E57EA"/>
    <w:rsid w:val="17AC1537"/>
    <w:rsid w:val="18B96C3E"/>
    <w:rsid w:val="195064D2"/>
    <w:rsid w:val="198A6BC1"/>
    <w:rsid w:val="1A8B78C8"/>
    <w:rsid w:val="1AF42CA3"/>
    <w:rsid w:val="1B1D0CF9"/>
    <w:rsid w:val="1B1E123A"/>
    <w:rsid w:val="1B885029"/>
    <w:rsid w:val="1BE84C93"/>
    <w:rsid w:val="1C4117F5"/>
    <w:rsid w:val="1C7B44B9"/>
    <w:rsid w:val="1C882E95"/>
    <w:rsid w:val="1D1B5EBC"/>
    <w:rsid w:val="1D625A87"/>
    <w:rsid w:val="1DCB3868"/>
    <w:rsid w:val="1E0203F0"/>
    <w:rsid w:val="1E2E0766"/>
    <w:rsid w:val="1E8F7FA5"/>
    <w:rsid w:val="1F3F01D0"/>
    <w:rsid w:val="1F6921F0"/>
    <w:rsid w:val="1FA57C8E"/>
    <w:rsid w:val="20504451"/>
    <w:rsid w:val="2060454A"/>
    <w:rsid w:val="210473E3"/>
    <w:rsid w:val="21092E45"/>
    <w:rsid w:val="212E6D7E"/>
    <w:rsid w:val="21B31FA1"/>
    <w:rsid w:val="21B63522"/>
    <w:rsid w:val="21DF6191"/>
    <w:rsid w:val="23093FB3"/>
    <w:rsid w:val="23335B17"/>
    <w:rsid w:val="23A34624"/>
    <w:rsid w:val="242A5F98"/>
    <w:rsid w:val="24ED0358"/>
    <w:rsid w:val="254F3E05"/>
    <w:rsid w:val="255E77B6"/>
    <w:rsid w:val="263F3485"/>
    <w:rsid w:val="26F255AF"/>
    <w:rsid w:val="273A3868"/>
    <w:rsid w:val="27752454"/>
    <w:rsid w:val="2787332F"/>
    <w:rsid w:val="278A7A31"/>
    <w:rsid w:val="27CB014C"/>
    <w:rsid w:val="27CF2A5D"/>
    <w:rsid w:val="29B340BB"/>
    <w:rsid w:val="2A3336B1"/>
    <w:rsid w:val="2A500547"/>
    <w:rsid w:val="2A7F5F0C"/>
    <w:rsid w:val="2B0A67F2"/>
    <w:rsid w:val="2B9B1B48"/>
    <w:rsid w:val="2CF05373"/>
    <w:rsid w:val="2D240BAF"/>
    <w:rsid w:val="2D3C3F45"/>
    <w:rsid w:val="2DF0210A"/>
    <w:rsid w:val="2E023E19"/>
    <w:rsid w:val="2F5766B4"/>
    <w:rsid w:val="2F927915"/>
    <w:rsid w:val="2F9A307F"/>
    <w:rsid w:val="2FDF2154"/>
    <w:rsid w:val="30E22A9C"/>
    <w:rsid w:val="31A060D8"/>
    <w:rsid w:val="31C87153"/>
    <w:rsid w:val="320A7884"/>
    <w:rsid w:val="32AC0C4F"/>
    <w:rsid w:val="32D00CE6"/>
    <w:rsid w:val="334E7200"/>
    <w:rsid w:val="33CE43FE"/>
    <w:rsid w:val="34002664"/>
    <w:rsid w:val="3416219F"/>
    <w:rsid w:val="346D3DFC"/>
    <w:rsid w:val="34F44665"/>
    <w:rsid w:val="35393B13"/>
    <w:rsid w:val="3606431D"/>
    <w:rsid w:val="36E43B99"/>
    <w:rsid w:val="37031B55"/>
    <w:rsid w:val="370A71F9"/>
    <w:rsid w:val="370E35C6"/>
    <w:rsid w:val="37247A2A"/>
    <w:rsid w:val="37CF76C5"/>
    <w:rsid w:val="39280C4D"/>
    <w:rsid w:val="393202C1"/>
    <w:rsid w:val="39D972C3"/>
    <w:rsid w:val="3BB9725A"/>
    <w:rsid w:val="3BD743E0"/>
    <w:rsid w:val="3C312C7A"/>
    <w:rsid w:val="3C935548"/>
    <w:rsid w:val="3DB10587"/>
    <w:rsid w:val="3E570A9D"/>
    <w:rsid w:val="3FD86A55"/>
    <w:rsid w:val="40196D1E"/>
    <w:rsid w:val="406D16D5"/>
    <w:rsid w:val="4086427F"/>
    <w:rsid w:val="40C4536B"/>
    <w:rsid w:val="40F82145"/>
    <w:rsid w:val="4106638B"/>
    <w:rsid w:val="429D6BFF"/>
    <w:rsid w:val="42C86A10"/>
    <w:rsid w:val="42E95DED"/>
    <w:rsid w:val="430F0235"/>
    <w:rsid w:val="430F0D40"/>
    <w:rsid w:val="43AF5FB6"/>
    <w:rsid w:val="43D11DBD"/>
    <w:rsid w:val="45122B54"/>
    <w:rsid w:val="45862B2A"/>
    <w:rsid w:val="459F6843"/>
    <w:rsid w:val="45BB4066"/>
    <w:rsid w:val="46391AD6"/>
    <w:rsid w:val="463D2FAC"/>
    <w:rsid w:val="46E30F41"/>
    <w:rsid w:val="473D6F2F"/>
    <w:rsid w:val="47E50995"/>
    <w:rsid w:val="47EA1168"/>
    <w:rsid w:val="48214163"/>
    <w:rsid w:val="49B4023C"/>
    <w:rsid w:val="49B6526F"/>
    <w:rsid w:val="49EE15B4"/>
    <w:rsid w:val="4A1C7010"/>
    <w:rsid w:val="4ABC32E3"/>
    <w:rsid w:val="4B8A4307"/>
    <w:rsid w:val="4C207CE2"/>
    <w:rsid w:val="4C3936F0"/>
    <w:rsid w:val="4C4431DD"/>
    <w:rsid w:val="4C6E62E7"/>
    <w:rsid w:val="4D550AFD"/>
    <w:rsid w:val="4D7059D5"/>
    <w:rsid w:val="4E0F606F"/>
    <w:rsid w:val="4E841B2B"/>
    <w:rsid w:val="4E9D2917"/>
    <w:rsid w:val="4EA01499"/>
    <w:rsid w:val="4F210ACB"/>
    <w:rsid w:val="4F2C79F9"/>
    <w:rsid w:val="4F6644EB"/>
    <w:rsid w:val="505A7C77"/>
    <w:rsid w:val="510C0F26"/>
    <w:rsid w:val="521207EC"/>
    <w:rsid w:val="52484168"/>
    <w:rsid w:val="53674D1D"/>
    <w:rsid w:val="5407085C"/>
    <w:rsid w:val="54461AB0"/>
    <w:rsid w:val="547F7462"/>
    <w:rsid w:val="54912B0E"/>
    <w:rsid w:val="55AA2E73"/>
    <w:rsid w:val="55B06187"/>
    <w:rsid w:val="56186573"/>
    <w:rsid w:val="564F33CC"/>
    <w:rsid w:val="568F6EC9"/>
    <w:rsid w:val="573E2E7D"/>
    <w:rsid w:val="57470458"/>
    <w:rsid w:val="585E46DE"/>
    <w:rsid w:val="58A8598E"/>
    <w:rsid w:val="595D2327"/>
    <w:rsid w:val="59ED7EF0"/>
    <w:rsid w:val="5A0163B1"/>
    <w:rsid w:val="5A4D46CD"/>
    <w:rsid w:val="5A9D0254"/>
    <w:rsid w:val="5ADC2C9E"/>
    <w:rsid w:val="5C6E24AD"/>
    <w:rsid w:val="5C775BD2"/>
    <w:rsid w:val="5CE84869"/>
    <w:rsid w:val="5D813098"/>
    <w:rsid w:val="5D911634"/>
    <w:rsid w:val="5F1E5E88"/>
    <w:rsid w:val="5F3100D0"/>
    <w:rsid w:val="5F6C5123"/>
    <w:rsid w:val="5FFF6755"/>
    <w:rsid w:val="6059261D"/>
    <w:rsid w:val="60A62E29"/>
    <w:rsid w:val="60DC2474"/>
    <w:rsid w:val="60DD11C9"/>
    <w:rsid w:val="63DE662A"/>
    <w:rsid w:val="64165380"/>
    <w:rsid w:val="66504505"/>
    <w:rsid w:val="67450FC5"/>
    <w:rsid w:val="67924C55"/>
    <w:rsid w:val="680479C4"/>
    <w:rsid w:val="683C2D91"/>
    <w:rsid w:val="688E6416"/>
    <w:rsid w:val="692019A0"/>
    <w:rsid w:val="698F1750"/>
    <w:rsid w:val="69AA2513"/>
    <w:rsid w:val="69C47F91"/>
    <w:rsid w:val="69D72FC0"/>
    <w:rsid w:val="6B3D3343"/>
    <w:rsid w:val="6B6570DC"/>
    <w:rsid w:val="6B9351B8"/>
    <w:rsid w:val="6B937F84"/>
    <w:rsid w:val="6BA33C2B"/>
    <w:rsid w:val="6BDF3F26"/>
    <w:rsid w:val="6C0010D7"/>
    <w:rsid w:val="6C0A71B3"/>
    <w:rsid w:val="6C89519F"/>
    <w:rsid w:val="6CA93E1D"/>
    <w:rsid w:val="6E981BE5"/>
    <w:rsid w:val="6F066557"/>
    <w:rsid w:val="6F8B415F"/>
    <w:rsid w:val="6FAA11EA"/>
    <w:rsid w:val="703516D7"/>
    <w:rsid w:val="70AC1F6D"/>
    <w:rsid w:val="71105782"/>
    <w:rsid w:val="71827024"/>
    <w:rsid w:val="719B47E5"/>
    <w:rsid w:val="71C15AB6"/>
    <w:rsid w:val="71F14D1C"/>
    <w:rsid w:val="721A3EFA"/>
    <w:rsid w:val="72226AFC"/>
    <w:rsid w:val="73350BAA"/>
    <w:rsid w:val="73BC090D"/>
    <w:rsid w:val="741844F6"/>
    <w:rsid w:val="75025A6A"/>
    <w:rsid w:val="7527411E"/>
    <w:rsid w:val="752A3B5A"/>
    <w:rsid w:val="75F22087"/>
    <w:rsid w:val="760E1E31"/>
    <w:rsid w:val="773B301C"/>
    <w:rsid w:val="77707AFD"/>
    <w:rsid w:val="78A65245"/>
    <w:rsid w:val="7A5A6FDB"/>
    <w:rsid w:val="7B382D3A"/>
    <w:rsid w:val="7BB661F2"/>
    <w:rsid w:val="7DA157B9"/>
    <w:rsid w:val="7F2201B2"/>
    <w:rsid w:val="7F43647C"/>
    <w:rsid w:val="7FD564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2"/>
    <w:qFormat/>
    <w:uiPriority w:val="9"/>
    <w:pPr>
      <w:keepNext/>
      <w:keepLines/>
      <w:spacing w:before="340" w:after="330" w:line="578" w:lineRule="auto"/>
      <w:outlineLvl w:val="0"/>
    </w:pPr>
    <w:rPr>
      <w:rFonts w:ascii="Calibri" w:hAnsi="Calibri"/>
      <w:b/>
      <w:bCs/>
      <w:kern w:val="44"/>
      <w:sz w:val="44"/>
      <w:szCs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3">
    <w:name w:val="Balloon Text"/>
    <w:basedOn w:val="1"/>
    <w:link w:val="34"/>
    <w:qFormat/>
    <w:uiPriority w:val="0"/>
    <w:rPr>
      <w:sz w:val="18"/>
      <w:szCs w:val="18"/>
    </w:rPr>
  </w:style>
  <w:style w:type="paragraph" w:styleId="4">
    <w:name w:val="footer"/>
    <w:basedOn w:val="1"/>
    <w:link w:val="35"/>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footnote text"/>
    <w:basedOn w:val="1"/>
    <w:link w:val="33"/>
    <w:unhideWhenUsed/>
    <w:qFormat/>
    <w:uiPriority w:val="99"/>
    <w:pPr>
      <w:snapToGrid w:val="0"/>
      <w:jc w:val="left"/>
    </w:pPr>
    <w:rPr>
      <w:rFonts w:ascii="Calibri" w:hAnsi="Calibri"/>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1">
    <w:name w:val="Strong"/>
    <w:qFormat/>
    <w:uiPriority w:val="0"/>
    <w:rPr>
      <w:b/>
      <w:bCs/>
    </w:rPr>
  </w:style>
  <w:style w:type="character" w:styleId="12">
    <w:name w:val="footnote reference"/>
    <w:unhideWhenUsed/>
    <w:qFormat/>
    <w:uiPriority w:val="99"/>
    <w:rPr>
      <w:vertAlign w:val="superscript"/>
    </w:rPr>
  </w:style>
  <w:style w:type="paragraph" w:customStyle="1" w:styleId="13">
    <w:name w:val="正文 New New"/>
    <w:qFormat/>
    <w:uiPriority w:val="0"/>
    <w:pPr>
      <w:widowControl w:val="0"/>
      <w:jc w:val="both"/>
    </w:pPr>
    <w:rPr>
      <w:rFonts w:ascii="Calibri" w:hAnsi="Calibri" w:eastAsia="宋体" w:cs="黑体"/>
      <w:kern w:val="2"/>
      <w:sz w:val="21"/>
      <w:szCs w:val="22"/>
      <w:lang w:val="en-US" w:eastAsia="zh-CN" w:bidi="ar-SA"/>
    </w:rPr>
  </w:style>
  <w:style w:type="paragraph" w:customStyle="1" w:styleId="14">
    <w:name w:val="正文 New New New"/>
    <w:qFormat/>
    <w:uiPriority w:val="0"/>
    <w:pPr>
      <w:widowControl w:val="0"/>
      <w:jc w:val="both"/>
    </w:pPr>
    <w:rPr>
      <w:rFonts w:ascii="Calibri" w:hAnsi="Calibri" w:eastAsia="宋体" w:cs="黑体"/>
      <w:kern w:val="2"/>
      <w:sz w:val="21"/>
      <w:szCs w:val="22"/>
      <w:lang w:val="en-US" w:eastAsia="zh-CN" w:bidi="ar-SA"/>
    </w:rPr>
  </w:style>
  <w:style w:type="paragraph" w:customStyle="1" w:styleId="15">
    <w:name w:val="标题 1 New"/>
    <w:basedOn w:val="16"/>
    <w:next w:val="16"/>
    <w:qFormat/>
    <w:uiPriority w:val="0"/>
    <w:pPr>
      <w:keepNext/>
      <w:keepLines/>
      <w:spacing w:before="340" w:after="330" w:line="578" w:lineRule="auto"/>
      <w:outlineLvl w:val="0"/>
    </w:pPr>
    <w:rPr>
      <w:b/>
      <w:bCs/>
      <w:kern w:val="44"/>
      <w:sz w:val="44"/>
      <w:szCs w:val="44"/>
    </w:rPr>
  </w:style>
  <w:style w:type="paragraph" w:customStyle="1" w:styleId="16">
    <w:name w:val="正文 New"/>
    <w:qFormat/>
    <w:uiPriority w:val="0"/>
    <w:pPr>
      <w:widowControl w:val="0"/>
      <w:jc w:val="both"/>
    </w:pPr>
    <w:rPr>
      <w:rFonts w:ascii="Calibri" w:hAnsi="Calibri" w:eastAsia="宋体" w:cs="黑体"/>
      <w:kern w:val="2"/>
      <w:sz w:val="21"/>
      <w:szCs w:val="22"/>
      <w:lang w:val="en-US" w:eastAsia="zh-CN" w:bidi="ar-SA"/>
    </w:rPr>
  </w:style>
  <w:style w:type="paragraph" w:customStyle="1" w:styleId="17">
    <w:name w:val="正文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正文 New New New New New New New New New"/>
    <w:qFormat/>
    <w:uiPriority w:val="0"/>
    <w:pPr>
      <w:widowControl w:val="0"/>
      <w:jc w:val="both"/>
    </w:pPr>
    <w:rPr>
      <w:rFonts w:ascii="Calibri" w:hAnsi="Calibri" w:eastAsia="宋体" w:cs="黑体"/>
      <w:kern w:val="2"/>
      <w:sz w:val="21"/>
      <w:szCs w:val="22"/>
      <w:lang w:val="en-US" w:eastAsia="zh-CN" w:bidi="ar-SA"/>
    </w:rPr>
  </w:style>
  <w:style w:type="paragraph" w:customStyle="1" w:styleId="19">
    <w:name w:val="正文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0">
    <w:name w:val="正文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1">
    <w:name w:val="正文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2">
    <w:name w:val="正文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3">
    <w:name w:val="_Style 22"/>
    <w:unhideWhenUsed/>
    <w:qFormat/>
    <w:uiPriority w:val="99"/>
    <w:rPr>
      <w:rFonts w:ascii="Times New Roman" w:hAnsi="Times New Roman" w:eastAsia="宋体" w:cs="Times New Roman"/>
      <w:kern w:val="2"/>
      <w:sz w:val="21"/>
      <w:lang w:val="en-US" w:eastAsia="zh-CN" w:bidi="ar-SA"/>
    </w:rPr>
  </w:style>
  <w:style w:type="paragraph" w:customStyle="1" w:styleId="24">
    <w:name w:val="正文 New New New New New New New New New New New New"/>
    <w:qFormat/>
    <w:uiPriority w:val="0"/>
    <w:pPr>
      <w:widowControl w:val="0"/>
      <w:jc w:val="both"/>
    </w:pPr>
    <w:rPr>
      <w:rFonts w:ascii="Calibri" w:hAnsi="Calibri" w:eastAsia="宋体" w:cs="黑体"/>
      <w:kern w:val="2"/>
      <w:sz w:val="21"/>
      <w:szCs w:val="22"/>
      <w:lang w:val="en-US" w:eastAsia="zh-CN" w:bidi="ar-SA"/>
    </w:rPr>
  </w:style>
  <w:style w:type="paragraph" w:customStyle="1" w:styleId="25">
    <w:name w:val="正文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6">
    <w:name w:val="正文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
    <w:name w:val="正文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
    <w:name w:val="正文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
    <w:name w:val="正文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0">
    <w:name w:val="正文 New New New New"/>
    <w:qFormat/>
    <w:uiPriority w:val="0"/>
    <w:pPr>
      <w:widowControl w:val="0"/>
      <w:jc w:val="both"/>
    </w:pPr>
    <w:rPr>
      <w:rFonts w:ascii="Calibri" w:hAnsi="Calibri" w:eastAsia="宋体" w:cs="黑体"/>
      <w:kern w:val="2"/>
      <w:sz w:val="21"/>
      <w:szCs w:val="22"/>
      <w:lang w:val="en-US" w:eastAsia="zh-CN" w:bidi="ar-SA"/>
    </w:rPr>
  </w:style>
  <w:style w:type="paragraph" w:customStyle="1" w:styleId="31">
    <w:name w:val="正文 New New New New New New"/>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32">
    <w:name w:val="标题 1 字符"/>
    <w:link w:val="2"/>
    <w:qFormat/>
    <w:uiPriority w:val="9"/>
    <w:rPr>
      <w:rFonts w:ascii="Calibri" w:hAnsi="Calibri"/>
      <w:b/>
      <w:bCs/>
      <w:kern w:val="44"/>
      <w:sz w:val="44"/>
      <w:szCs w:val="44"/>
    </w:rPr>
  </w:style>
  <w:style w:type="character" w:customStyle="1" w:styleId="33">
    <w:name w:val="脚注文本 字符"/>
    <w:link w:val="6"/>
    <w:qFormat/>
    <w:uiPriority w:val="99"/>
    <w:rPr>
      <w:rFonts w:ascii="Calibri" w:hAnsi="Calibri"/>
      <w:kern w:val="2"/>
      <w:sz w:val="18"/>
      <w:szCs w:val="18"/>
    </w:rPr>
  </w:style>
  <w:style w:type="character" w:customStyle="1" w:styleId="34">
    <w:name w:val="批注框文本 字符"/>
    <w:link w:val="3"/>
    <w:qFormat/>
    <w:uiPriority w:val="0"/>
    <w:rPr>
      <w:kern w:val="2"/>
      <w:sz w:val="18"/>
      <w:szCs w:val="18"/>
    </w:rPr>
  </w:style>
  <w:style w:type="character" w:customStyle="1" w:styleId="35">
    <w:name w:val="页脚 字符"/>
    <w:basedOn w:val="10"/>
    <w:link w:val="4"/>
    <w:qFormat/>
    <w:uiPriority w:val="99"/>
    <w:rPr>
      <w:kern w:val="2"/>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30</Pages>
  <Words>2223</Words>
  <Characters>12676</Characters>
  <Lines>105</Lines>
  <Paragraphs>29</Paragraphs>
  <TotalTime>100</TotalTime>
  <ScaleCrop>false</ScaleCrop>
  <LinksUpToDate>false</LinksUpToDate>
  <CharactersWithSpaces>14870</CharactersWithSpaces>
  <Application>WPS Office_11.1.0.9022_F1E327BC-269C-435d-A152-05C5408002CA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2019-06-24T01:55:00Z</dcterms:created>
  <dc:creator>产业园区开发办公室/谢伶莉</dc:creator>
  <cp:lastModifiedBy>燃藜小月</cp:lastModifiedBy>
  <cp:lastPrinted>2019-07-08T07:20:00Z</cp:lastPrinted>
  <dcterms:modified xsi:type="dcterms:W3CDTF">2019-09-09T08:34:41Z</dcterms:modified>
  <dc:title>广州南沙新区（自贸片区）新兴产业园区</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2052-11.1.0.9022</vt:lpwstr>
  </property>
</Properties>
</file>