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附件6 园区基本情况表</w:t>
      </w:r>
    </w:p>
    <w:p>
      <w:pPr>
        <w:pStyle w:val="16"/>
        <w:spacing w:line="360" w:lineRule="auto"/>
        <w:rPr>
          <w:rFonts w:hint="eastAsia" w:asciiTheme="minorEastAsia" w:hAnsiTheme="minorEastAsia" w:eastAsiaTheme="minorEastAsia" w:cstheme="minorEastAsia"/>
          <w:sz w:val="24"/>
          <w:szCs w:val="24"/>
        </w:rPr>
      </w:pPr>
    </w:p>
    <w:p>
      <w:pPr>
        <w:pStyle w:val="1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填报单位：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65"/>
        <w:gridCol w:w="1370"/>
        <w:gridCol w:w="1174"/>
        <w:gridCol w:w="274"/>
        <w:gridCol w:w="1291"/>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园区名称</w:t>
            </w:r>
          </w:p>
        </w:tc>
        <w:tc>
          <w:tcPr>
            <w:tcW w:w="2635" w:type="dxa"/>
            <w:gridSpan w:val="2"/>
            <w:vAlign w:val="center"/>
          </w:tcPr>
          <w:p>
            <w:pPr>
              <w:pStyle w:val="16"/>
              <w:jc w:val="center"/>
              <w:rPr>
                <w:rFonts w:hint="eastAsia" w:asciiTheme="minorEastAsia" w:hAnsiTheme="minorEastAsia" w:eastAsiaTheme="minorEastAsia" w:cstheme="minorEastAsia"/>
                <w:sz w:val="24"/>
                <w:szCs w:val="24"/>
              </w:rPr>
            </w:pPr>
          </w:p>
        </w:tc>
        <w:tc>
          <w:tcPr>
            <w:tcW w:w="1448"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公司名称</w:t>
            </w:r>
          </w:p>
        </w:tc>
        <w:tc>
          <w:tcPr>
            <w:tcW w:w="2517" w:type="dxa"/>
            <w:gridSpan w:val="2"/>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建设地址</w:t>
            </w:r>
          </w:p>
        </w:tc>
        <w:tc>
          <w:tcPr>
            <w:tcW w:w="2635" w:type="dxa"/>
            <w:gridSpan w:val="2"/>
            <w:vAlign w:val="center"/>
          </w:tcPr>
          <w:p>
            <w:pPr>
              <w:pStyle w:val="16"/>
              <w:jc w:val="center"/>
              <w:rPr>
                <w:rFonts w:hint="eastAsia" w:asciiTheme="minorEastAsia" w:hAnsiTheme="minorEastAsia" w:eastAsiaTheme="minorEastAsia" w:cstheme="minorEastAsia"/>
                <w:sz w:val="24"/>
                <w:szCs w:val="24"/>
              </w:rPr>
            </w:pPr>
          </w:p>
        </w:tc>
        <w:tc>
          <w:tcPr>
            <w:tcW w:w="1448"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行业类别</w:t>
            </w:r>
          </w:p>
        </w:tc>
        <w:tc>
          <w:tcPr>
            <w:tcW w:w="2517" w:type="dxa"/>
            <w:gridSpan w:val="2"/>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园区联系人</w:t>
            </w:r>
          </w:p>
        </w:tc>
        <w:tc>
          <w:tcPr>
            <w:tcW w:w="2635" w:type="dxa"/>
            <w:gridSpan w:val="2"/>
            <w:vAlign w:val="center"/>
          </w:tcPr>
          <w:p>
            <w:pPr>
              <w:pStyle w:val="16"/>
              <w:jc w:val="center"/>
              <w:rPr>
                <w:rFonts w:hint="eastAsia" w:asciiTheme="minorEastAsia" w:hAnsiTheme="minorEastAsia" w:eastAsiaTheme="minorEastAsia" w:cstheme="minorEastAsia"/>
                <w:sz w:val="24"/>
                <w:szCs w:val="24"/>
              </w:rPr>
            </w:pPr>
          </w:p>
        </w:tc>
        <w:tc>
          <w:tcPr>
            <w:tcW w:w="1448"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517" w:type="dxa"/>
            <w:gridSpan w:val="2"/>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项目性质</w:t>
            </w:r>
          </w:p>
        </w:tc>
        <w:tc>
          <w:tcPr>
            <w:tcW w:w="6600" w:type="dxa"/>
            <w:gridSpan w:val="6"/>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  □改造型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总投资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rPr>
              <w:t>）</w:t>
            </w:r>
          </w:p>
        </w:tc>
        <w:tc>
          <w:tcPr>
            <w:tcW w:w="1265" w:type="dxa"/>
            <w:vAlign w:val="center"/>
          </w:tcPr>
          <w:p>
            <w:pPr>
              <w:pStyle w:val="16"/>
              <w:jc w:val="center"/>
              <w:rPr>
                <w:rFonts w:hint="eastAsia" w:asciiTheme="minorEastAsia" w:hAnsiTheme="minorEastAsia" w:eastAsiaTheme="minorEastAsia" w:cstheme="minorEastAsia"/>
                <w:sz w:val="24"/>
                <w:szCs w:val="24"/>
              </w:rPr>
            </w:pPr>
          </w:p>
        </w:tc>
        <w:tc>
          <w:tcPr>
            <w:tcW w:w="1370"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注册资本</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rPr>
              <w:t>）</w:t>
            </w:r>
          </w:p>
        </w:tc>
        <w:tc>
          <w:tcPr>
            <w:tcW w:w="1174" w:type="dxa"/>
            <w:vAlign w:val="center"/>
          </w:tcPr>
          <w:p>
            <w:pPr>
              <w:pStyle w:val="16"/>
              <w:jc w:val="center"/>
              <w:rPr>
                <w:rFonts w:hint="eastAsia" w:asciiTheme="minorEastAsia" w:hAnsiTheme="minorEastAsia" w:eastAsiaTheme="minorEastAsia" w:cstheme="minorEastAsia"/>
                <w:sz w:val="24"/>
                <w:szCs w:val="24"/>
              </w:rPr>
            </w:pPr>
          </w:p>
        </w:tc>
        <w:tc>
          <w:tcPr>
            <w:tcW w:w="1565"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流动资金</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（万元）</w:t>
            </w:r>
          </w:p>
        </w:tc>
        <w:tc>
          <w:tcPr>
            <w:tcW w:w="1226" w:type="dxa"/>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固定资产投资（万元）</w:t>
            </w:r>
          </w:p>
        </w:tc>
        <w:tc>
          <w:tcPr>
            <w:tcW w:w="1265" w:type="dxa"/>
            <w:vAlign w:val="center"/>
          </w:tcPr>
          <w:p>
            <w:pPr>
              <w:pStyle w:val="16"/>
              <w:jc w:val="center"/>
              <w:rPr>
                <w:rFonts w:hint="eastAsia" w:asciiTheme="minorEastAsia" w:hAnsiTheme="minorEastAsia" w:eastAsiaTheme="minorEastAsia" w:cstheme="minorEastAsia"/>
                <w:sz w:val="24"/>
                <w:szCs w:val="24"/>
              </w:rPr>
            </w:pPr>
          </w:p>
        </w:tc>
        <w:tc>
          <w:tcPr>
            <w:tcW w:w="5335" w:type="dxa"/>
            <w:gridSpan w:val="5"/>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其中：土地款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万元，建筑工程款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w:t>
            </w:r>
          </w:p>
          <w:p>
            <w:pPr>
              <w:pStyle w:val="16"/>
              <w:ind w:firstLine="720" w:firstLineChars="3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设备投资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总用地面积（m²）</w:t>
            </w:r>
          </w:p>
        </w:tc>
        <w:tc>
          <w:tcPr>
            <w:tcW w:w="1265" w:type="dxa"/>
            <w:vAlign w:val="center"/>
          </w:tcPr>
          <w:p>
            <w:pPr>
              <w:pStyle w:val="16"/>
              <w:jc w:val="center"/>
              <w:rPr>
                <w:rFonts w:hint="eastAsia" w:asciiTheme="minorEastAsia" w:hAnsiTheme="minorEastAsia" w:eastAsiaTheme="minorEastAsia" w:cstheme="minorEastAsia"/>
                <w:sz w:val="24"/>
                <w:szCs w:val="24"/>
              </w:rPr>
            </w:pPr>
          </w:p>
        </w:tc>
        <w:tc>
          <w:tcPr>
            <w:tcW w:w="1370"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年测算税收</w:t>
            </w:r>
            <w:r>
              <w:rPr>
                <w:rFonts w:hint="eastAsia" w:asciiTheme="minorEastAsia" w:hAnsiTheme="minorEastAsia" w:eastAsiaTheme="minorEastAsia" w:cstheme="minorEastAsia"/>
                <w:sz w:val="24"/>
                <w:szCs w:val="24"/>
              </w:rPr>
              <w:t>总额</w:t>
            </w:r>
            <w:r>
              <w:rPr>
                <w:rFonts w:hint="eastAsia" w:asciiTheme="minorEastAsia" w:hAnsiTheme="minorEastAsia" w:eastAsiaTheme="minorEastAsia" w:cstheme="minorEastAsia"/>
                <w:sz w:val="24"/>
                <w:szCs w:val="24"/>
              </w:rPr>
              <w:t>（万元）</w:t>
            </w:r>
          </w:p>
        </w:tc>
        <w:tc>
          <w:tcPr>
            <w:tcW w:w="1174" w:type="dxa"/>
            <w:vAlign w:val="center"/>
          </w:tcPr>
          <w:p>
            <w:pPr>
              <w:pStyle w:val="16"/>
              <w:jc w:val="center"/>
              <w:rPr>
                <w:rFonts w:hint="eastAsia" w:asciiTheme="minorEastAsia" w:hAnsiTheme="minorEastAsia" w:eastAsiaTheme="minorEastAsia" w:cstheme="minorEastAsia"/>
                <w:sz w:val="24"/>
                <w:szCs w:val="24"/>
              </w:rPr>
            </w:pPr>
          </w:p>
        </w:tc>
        <w:tc>
          <w:tcPr>
            <w:tcW w:w="1565"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地均税收</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（元/m²）</w:t>
            </w:r>
          </w:p>
        </w:tc>
        <w:tc>
          <w:tcPr>
            <w:tcW w:w="1226" w:type="dxa"/>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上一年度园区</w:t>
            </w:r>
            <w:r>
              <w:rPr>
                <w:rFonts w:hint="eastAsia" w:asciiTheme="minorEastAsia" w:hAnsiTheme="minorEastAsia" w:eastAsiaTheme="minorEastAsia" w:cstheme="minorEastAsia"/>
                <w:sz w:val="24"/>
                <w:szCs w:val="24"/>
              </w:rPr>
              <w:t>主</w:t>
            </w:r>
            <w:r>
              <w:rPr>
                <w:rFonts w:hint="eastAsia" w:asciiTheme="minorEastAsia" w:hAnsiTheme="minorEastAsia" w:eastAsiaTheme="minorEastAsia" w:cstheme="minorEastAsia"/>
                <w:sz w:val="24"/>
                <w:szCs w:val="24"/>
              </w:rPr>
              <w:t>营</w:t>
            </w:r>
            <w:r>
              <w:rPr>
                <w:rFonts w:hint="eastAsia" w:asciiTheme="minorEastAsia" w:hAnsiTheme="minorEastAsia" w:eastAsiaTheme="minorEastAsia" w:cstheme="minorEastAsia"/>
                <w:sz w:val="24"/>
                <w:szCs w:val="24"/>
              </w:rPr>
              <w:t>业务</w:t>
            </w:r>
            <w:r>
              <w:rPr>
                <w:rFonts w:hint="eastAsia" w:asciiTheme="minorEastAsia" w:hAnsiTheme="minorEastAsia" w:eastAsiaTheme="minorEastAsia" w:cstheme="minorEastAsia"/>
                <w:sz w:val="24"/>
                <w:szCs w:val="24"/>
              </w:rPr>
              <w:t>收入</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（万元）</w:t>
            </w:r>
          </w:p>
        </w:tc>
        <w:tc>
          <w:tcPr>
            <w:tcW w:w="1265" w:type="dxa"/>
            <w:vAlign w:val="center"/>
          </w:tcPr>
          <w:p>
            <w:pPr>
              <w:pStyle w:val="16"/>
              <w:jc w:val="center"/>
              <w:rPr>
                <w:rFonts w:hint="eastAsia" w:asciiTheme="minorEastAsia" w:hAnsiTheme="minorEastAsia" w:eastAsiaTheme="minorEastAsia" w:cstheme="minorEastAsia"/>
                <w:sz w:val="24"/>
                <w:szCs w:val="24"/>
              </w:rPr>
            </w:pPr>
          </w:p>
        </w:tc>
        <w:tc>
          <w:tcPr>
            <w:tcW w:w="1370"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土地产出率</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元/m²</w:t>
            </w:r>
            <w:r>
              <w:rPr>
                <w:rFonts w:hint="eastAsia" w:asciiTheme="minorEastAsia" w:hAnsiTheme="minorEastAsia" w:eastAsiaTheme="minorEastAsia" w:cstheme="minorEastAsia"/>
                <w:sz w:val="24"/>
                <w:szCs w:val="24"/>
              </w:rPr>
              <w:t>）</w:t>
            </w:r>
          </w:p>
        </w:tc>
        <w:tc>
          <w:tcPr>
            <w:tcW w:w="1174" w:type="dxa"/>
            <w:vAlign w:val="center"/>
          </w:tcPr>
          <w:p>
            <w:pPr>
              <w:pStyle w:val="16"/>
              <w:jc w:val="center"/>
              <w:rPr>
                <w:rFonts w:hint="eastAsia" w:asciiTheme="minorEastAsia" w:hAnsiTheme="minorEastAsia" w:eastAsiaTheme="minorEastAsia" w:cstheme="minorEastAsia"/>
                <w:sz w:val="24"/>
                <w:szCs w:val="24"/>
              </w:rPr>
            </w:pPr>
          </w:p>
        </w:tc>
        <w:tc>
          <w:tcPr>
            <w:tcW w:w="1565"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上一年研发</w:t>
            </w:r>
            <w:r>
              <w:rPr>
                <w:rFonts w:hint="eastAsia" w:asciiTheme="minorEastAsia" w:hAnsiTheme="minorEastAsia" w:eastAsiaTheme="minorEastAsia" w:cstheme="minorEastAsia"/>
                <w:sz w:val="24"/>
                <w:szCs w:val="24"/>
              </w:rPr>
              <w:t>经费支出（</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rPr>
              <w:t>）</w:t>
            </w:r>
          </w:p>
        </w:tc>
        <w:tc>
          <w:tcPr>
            <w:tcW w:w="1226" w:type="dxa"/>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研发投入</w:t>
            </w:r>
            <w:r>
              <w:rPr>
                <w:rFonts w:hint="eastAsia" w:asciiTheme="minorEastAsia" w:hAnsiTheme="minorEastAsia" w:eastAsiaTheme="minorEastAsia" w:cstheme="minorEastAsia"/>
                <w:sz w:val="24"/>
                <w:szCs w:val="24"/>
              </w:rPr>
              <w:t>强度</w:t>
            </w:r>
            <w:r>
              <w:rPr>
                <w:rFonts w:hint="eastAsia" w:asciiTheme="minorEastAsia" w:hAnsiTheme="minorEastAsia" w:eastAsiaTheme="minorEastAsia" w:cstheme="minorEastAsia"/>
                <w:sz w:val="24"/>
                <w:szCs w:val="24"/>
              </w:rPr>
              <w:t>（%）</w:t>
            </w:r>
          </w:p>
        </w:tc>
        <w:tc>
          <w:tcPr>
            <w:tcW w:w="1265" w:type="dxa"/>
            <w:vAlign w:val="center"/>
          </w:tcPr>
          <w:p>
            <w:pPr>
              <w:pStyle w:val="16"/>
              <w:jc w:val="center"/>
              <w:rPr>
                <w:rFonts w:hint="eastAsia" w:asciiTheme="minorEastAsia" w:hAnsiTheme="minorEastAsia" w:eastAsiaTheme="minorEastAsia" w:cstheme="minorEastAsia"/>
                <w:sz w:val="24"/>
                <w:szCs w:val="24"/>
              </w:rPr>
            </w:pPr>
          </w:p>
        </w:tc>
        <w:tc>
          <w:tcPr>
            <w:tcW w:w="1370"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主导</w:t>
            </w:r>
            <w:r>
              <w:rPr>
                <w:rFonts w:hint="eastAsia" w:asciiTheme="minorEastAsia" w:hAnsiTheme="minorEastAsia" w:eastAsiaTheme="minorEastAsia" w:cstheme="minorEastAsia"/>
                <w:sz w:val="24"/>
                <w:szCs w:val="24"/>
              </w:rPr>
              <w:t>产业营业收入占比（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w:t>
            </w:r>
          </w:p>
        </w:tc>
        <w:tc>
          <w:tcPr>
            <w:tcW w:w="1174" w:type="dxa"/>
            <w:vAlign w:val="center"/>
          </w:tcPr>
          <w:p>
            <w:pPr>
              <w:pStyle w:val="16"/>
              <w:jc w:val="center"/>
              <w:rPr>
                <w:rFonts w:hint="eastAsia" w:asciiTheme="minorEastAsia" w:hAnsiTheme="minorEastAsia" w:eastAsiaTheme="minorEastAsia" w:cstheme="minorEastAsia"/>
                <w:sz w:val="24"/>
                <w:szCs w:val="24"/>
              </w:rPr>
            </w:pPr>
          </w:p>
        </w:tc>
        <w:tc>
          <w:tcPr>
            <w:tcW w:w="1565"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每万人发明专利</w:t>
            </w:r>
            <w:r>
              <w:rPr>
                <w:rFonts w:hint="eastAsia" w:asciiTheme="minorEastAsia" w:hAnsiTheme="minorEastAsia" w:eastAsiaTheme="minorEastAsia" w:cstheme="minorEastAsia"/>
                <w:sz w:val="24"/>
                <w:szCs w:val="24"/>
              </w:rPr>
              <w:t>授权量</w:t>
            </w:r>
            <w:r>
              <w:rPr>
                <w:rFonts w:hint="eastAsia" w:asciiTheme="minorEastAsia" w:hAnsiTheme="minorEastAsia" w:eastAsiaTheme="minorEastAsia" w:cstheme="minorEastAsia"/>
                <w:sz w:val="24"/>
                <w:szCs w:val="24"/>
              </w:rPr>
              <w:t>（件）</w:t>
            </w:r>
          </w:p>
        </w:tc>
        <w:tc>
          <w:tcPr>
            <w:tcW w:w="1226" w:type="dxa"/>
            <w:vAlign w:val="center"/>
          </w:tcPr>
          <w:p>
            <w:pPr>
              <w:pStyle w:val="16"/>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高新科技及骨干</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企业数量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家</w:t>
            </w:r>
            <w:r>
              <w:rPr>
                <w:rFonts w:hint="eastAsia" w:asciiTheme="minorEastAsia" w:hAnsiTheme="minorEastAsia" w:eastAsiaTheme="minorEastAsia" w:cstheme="minorEastAsia"/>
                <w:sz w:val="24"/>
                <w:szCs w:val="24"/>
              </w:rPr>
              <w:t>）</w:t>
            </w:r>
          </w:p>
        </w:tc>
        <w:tc>
          <w:tcPr>
            <w:tcW w:w="1265" w:type="dxa"/>
            <w:vAlign w:val="center"/>
          </w:tcPr>
          <w:p>
            <w:pPr>
              <w:pStyle w:val="16"/>
              <w:jc w:val="center"/>
              <w:rPr>
                <w:rFonts w:hint="eastAsia" w:asciiTheme="minorEastAsia" w:hAnsiTheme="minorEastAsia" w:eastAsiaTheme="minorEastAsia" w:cstheme="minorEastAsia"/>
                <w:sz w:val="24"/>
                <w:szCs w:val="24"/>
              </w:rPr>
            </w:pPr>
          </w:p>
        </w:tc>
        <w:tc>
          <w:tcPr>
            <w:tcW w:w="1370" w:type="dxa"/>
            <w:vAlign w:val="center"/>
          </w:tcPr>
          <w:p>
            <w:pPr>
              <w:pStyle w:val="16"/>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跨境电商进出口额增速（%）</w:t>
            </w:r>
          </w:p>
        </w:tc>
        <w:tc>
          <w:tcPr>
            <w:tcW w:w="1174" w:type="dxa"/>
            <w:vAlign w:val="center"/>
          </w:tcPr>
          <w:p>
            <w:pPr>
              <w:pStyle w:val="16"/>
              <w:jc w:val="center"/>
              <w:rPr>
                <w:rFonts w:hint="eastAsia" w:asciiTheme="minorEastAsia" w:hAnsiTheme="minorEastAsia" w:eastAsiaTheme="minorEastAsia" w:cstheme="minorEastAsia"/>
                <w:sz w:val="24"/>
                <w:szCs w:val="24"/>
                <w:highlight w:val="yellow"/>
              </w:rPr>
            </w:pPr>
          </w:p>
        </w:tc>
        <w:tc>
          <w:tcPr>
            <w:tcW w:w="1565" w:type="dxa"/>
            <w:gridSpan w:val="2"/>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各类跨境电商企业入驻</w:t>
            </w:r>
          </w:p>
          <w:p>
            <w:pPr>
              <w:pStyle w:val="16"/>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（家）</w:t>
            </w:r>
          </w:p>
        </w:tc>
        <w:tc>
          <w:tcPr>
            <w:tcW w:w="1226" w:type="dxa"/>
            <w:vAlign w:val="center"/>
          </w:tcPr>
          <w:p>
            <w:pPr>
              <w:pStyle w:val="16"/>
              <w:jc w:val="center"/>
              <w:rPr>
                <w:rFonts w:hint="eastAsia" w:asciiTheme="minorEastAsia" w:hAnsiTheme="minorEastAsia" w:eastAsiaTheme="minorEastAsia" w:cs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产品和技术</w:t>
            </w:r>
            <w:r>
              <w:rPr>
                <w:rFonts w:hint="eastAsia" w:asciiTheme="minorEastAsia" w:hAnsiTheme="minorEastAsia" w:eastAsiaTheme="minorEastAsia" w:cstheme="minorEastAsia"/>
                <w:sz w:val="24"/>
                <w:szCs w:val="24"/>
              </w:rPr>
              <w:t>先进性或竞争优势</w:t>
            </w:r>
          </w:p>
        </w:tc>
        <w:tc>
          <w:tcPr>
            <w:tcW w:w="6600" w:type="dxa"/>
            <w:gridSpan w:val="6"/>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（创新性</w:t>
            </w:r>
            <w:r>
              <w:rPr>
                <w:rFonts w:hint="eastAsia" w:asciiTheme="minorEastAsia" w:hAnsiTheme="minorEastAsia" w:eastAsiaTheme="minorEastAsia" w:cstheme="minorEastAsia"/>
                <w:sz w:val="24"/>
                <w:szCs w:val="24"/>
              </w:rPr>
              <w:t>、知识产权、行业地位、第三方认证或检测等）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环境影响</w:t>
            </w:r>
            <w:r>
              <w:rPr>
                <w:rFonts w:hint="eastAsia" w:asciiTheme="minorEastAsia" w:hAnsiTheme="minorEastAsia" w:eastAsiaTheme="minorEastAsia" w:cstheme="minorEastAsia"/>
                <w:sz w:val="24"/>
                <w:szCs w:val="24"/>
              </w:rPr>
              <w:t>及解决措施</w:t>
            </w:r>
          </w:p>
        </w:tc>
        <w:tc>
          <w:tcPr>
            <w:tcW w:w="6600" w:type="dxa"/>
            <w:gridSpan w:val="6"/>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（主要污染物种类</w:t>
            </w:r>
            <w:r>
              <w:rPr>
                <w:rFonts w:hint="eastAsia" w:asciiTheme="minorEastAsia" w:hAnsiTheme="minorEastAsia" w:eastAsiaTheme="minorEastAsia" w:cstheme="minorEastAsia"/>
                <w:sz w:val="24"/>
                <w:szCs w:val="24"/>
              </w:rPr>
              <w:t>、总量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区域平衡情况、</w:t>
            </w:r>
            <w:r>
              <w:rPr>
                <w:rFonts w:hint="eastAsia" w:asciiTheme="minorEastAsia" w:hAnsiTheme="minorEastAsia" w:eastAsiaTheme="minorEastAsia" w:cstheme="minorEastAsia"/>
                <w:sz w:val="24"/>
                <w:szCs w:val="24"/>
              </w:rPr>
              <w:t>解决措施等</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1696" w:type="dxa"/>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用能情况</w:t>
            </w:r>
            <w:r>
              <w:rPr>
                <w:rFonts w:hint="eastAsia" w:asciiTheme="minorEastAsia" w:hAnsiTheme="minorEastAsia" w:eastAsiaTheme="minorEastAsia" w:cstheme="minorEastAsia"/>
                <w:sz w:val="24"/>
                <w:szCs w:val="24"/>
              </w:rPr>
              <w:t>及节能降耗措施</w:t>
            </w:r>
          </w:p>
        </w:tc>
        <w:tc>
          <w:tcPr>
            <w:tcW w:w="6600" w:type="dxa"/>
            <w:gridSpan w:val="6"/>
            <w:vAlign w:val="center"/>
          </w:tcPr>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（能源结构</w:t>
            </w:r>
            <w:r>
              <w:rPr>
                <w:rFonts w:hint="eastAsia" w:asciiTheme="minorEastAsia" w:hAnsiTheme="minorEastAsia" w:eastAsiaTheme="minorEastAsia" w:cstheme="minorEastAsia"/>
                <w:sz w:val="24"/>
                <w:szCs w:val="24"/>
              </w:rPr>
              <w:t>、类型、数量、节能降耗措施等）</w:t>
            </w:r>
          </w:p>
        </w:tc>
      </w:tr>
    </w:tbl>
    <w:p>
      <w:pPr>
        <w:pStyle w:val="16"/>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w:t>
      </w:r>
      <w:r>
        <w:rPr>
          <w:rFonts w:hint="eastAsia" w:asciiTheme="minorEastAsia" w:hAnsiTheme="minorEastAsia" w:eastAsiaTheme="minorEastAsia" w:cstheme="minorEastAsia"/>
          <w:sz w:val="24"/>
          <w:szCs w:val="24"/>
        </w:rPr>
        <w:t>总用地数量</w:t>
      </w:r>
      <w:r>
        <w:rPr>
          <w:rFonts w:hint="eastAsia" w:asciiTheme="minorEastAsia" w:hAnsiTheme="minorEastAsia" w:eastAsiaTheme="minorEastAsia" w:cstheme="minorEastAsia"/>
          <w:sz w:val="24"/>
          <w:szCs w:val="24"/>
        </w:rPr>
        <w:t>请精确到</w:t>
      </w:r>
      <w:r>
        <w:rPr>
          <w:rFonts w:hint="eastAsia" w:asciiTheme="minorEastAsia" w:hAnsiTheme="minorEastAsia" w:eastAsiaTheme="minorEastAsia" w:cstheme="minorEastAsia"/>
          <w:sz w:val="24"/>
          <w:szCs w:val="24"/>
        </w:rPr>
        <w:t>小数点后</w:t>
      </w:r>
      <w:r>
        <w:rPr>
          <w:rFonts w:hint="eastAsia" w:asciiTheme="minorEastAsia" w:hAnsiTheme="minorEastAsia" w:eastAsiaTheme="minorEastAsia" w:cstheme="minorEastAsia"/>
          <w:sz w:val="24"/>
          <w:szCs w:val="24"/>
        </w:rPr>
        <w:t>4位</w:t>
      </w:r>
      <w:r>
        <w:rPr>
          <w:rFonts w:hint="eastAsia" w:asciiTheme="minorEastAsia" w:hAnsiTheme="minorEastAsia" w:eastAsiaTheme="minorEastAsia" w:cstheme="minorEastAsia"/>
          <w:sz w:val="24"/>
          <w:szCs w:val="24"/>
        </w:rPr>
        <w:t>；</w:t>
      </w:r>
    </w:p>
    <w:p>
      <w:pPr>
        <w:pStyle w:val="16"/>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rPr>
        <w:t>.表中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跨境电商</w:t>
      </w:r>
      <w:r>
        <w:rPr>
          <w:rFonts w:hint="eastAsia" w:asciiTheme="minorEastAsia" w:hAnsiTheme="minorEastAsia" w:eastAsiaTheme="minorEastAsia" w:cstheme="minorEastAsia"/>
          <w:sz w:val="24"/>
          <w:szCs w:val="24"/>
        </w:rPr>
        <w:t>进出口额增速”</w:t>
      </w:r>
      <w:r>
        <w:rPr>
          <w:rFonts w:hint="eastAsia" w:asciiTheme="minorEastAsia" w:hAnsiTheme="minorEastAsia" w:eastAsiaTheme="minorEastAsia" w:cstheme="minorEastAsia"/>
          <w:sz w:val="24"/>
          <w:szCs w:val="24"/>
        </w:rPr>
        <w:t>、“各类跨境</w:t>
      </w:r>
      <w:r>
        <w:rPr>
          <w:rFonts w:hint="eastAsia" w:asciiTheme="minorEastAsia" w:hAnsiTheme="minorEastAsia" w:eastAsiaTheme="minorEastAsia" w:cstheme="minorEastAsia"/>
          <w:sz w:val="24"/>
          <w:szCs w:val="24"/>
        </w:rPr>
        <w:t>电商企业入驻数</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rPr>
        <w:t>跨境电商类相关产业园区填写。</w:t>
      </w:r>
    </w:p>
    <w:sectPr>
      <w:footerReference r:id="rId5" w:type="default"/>
      <w:pgSz w:w="11906" w:h="16838" w:orient="landscape"/>
      <w:pgMar w:top="1240" w:right="1800" w:bottom="898"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BF3C54"/>
    <w:rsid w:val="04BF7029"/>
    <w:rsid w:val="053F0915"/>
    <w:rsid w:val="05DC19EE"/>
    <w:rsid w:val="05DF1E13"/>
    <w:rsid w:val="05F54DAA"/>
    <w:rsid w:val="074B01DC"/>
    <w:rsid w:val="087B4C27"/>
    <w:rsid w:val="08DD7ED7"/>
    <w:rsid w:val="092151D8"/>
    <w:rsid w:val="09C457A0"/>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95064D2"/>
    <w:rsid w:val="198A6BC1"/>
    <w:rsid w:val="1A8B78C8"/>
    <w:rsid w:val="1AF42CA3"/>
    <w:rsid w:val="1B1D0CF9"/>
    <w:rsid w:val="1B1E123A"/>
    <w:rsid w:val="1B885029"/>
    <w:rsid w:val="1BE84C93"/>
    <w:rsid w:val="1C4117F5"/>
    <w:rsid w:val="1C7B44B9"/>
    <w:rsid w:val="1C882E95"/>
    <w:rsid w:val="1C8E0AD1"/>
    <w:rsid w:val="1D1B5EBC"/>
    <w:rsid w:val="1D625A87"/>
    <w:rsid w:val="1DCB3868"/>
    <w:rsid w:val="1E0203F0"/>
    <w:rsid w:val="1E2E0766"/>
    <w:rsid w:val="1E8F7FA5"/>
    <w:rsid w:val="1F3F01D0"/>
    <w:rsid w:val="1F6921F0"/>
    <w:rsid w:val="1FA57C8E"/>
    <w:rsid w:val="1FD834F3"/>
    <w:rsid w:val="20504451"/>
    <w:rsid w:val="2060454A"/>
    <w:rsid w:val="210473E3"/>
    <w:rsid w:val="21092E45"/>
    <w:rsid w:val="212E6D7E"/>
    <w:rsid w:val="21B31FA1"/>
    <w:rsid w:val="21B63522"/>
    <w:rsid w:val="21DF6191"/>
    <w:rsid w:val="23093FB3"/>
    <w:rsid w:val="23335B17"/>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D240BAF"/>
    <w:rsid w:val="2D3C3F45"/>
    <w:rsid w:val="2DF0210A"/>
    <w:rsid w:val="2E023E19"/>
    <w:rsid w:val="2F5766B4"/>
    <w:rsid w:val="2F927915"/>
    <w:rsid w:val="2F9A307F"/>
    <w:rsid w:val="2FDF2154"/>
    <w:rsid w:val="30E22A9C"/>
    <w:rsid w:val="31A060D8"/>
    <w:rsid w:val="31C87153"/>
    <w:rsid w:val="320A7884"/>
    <w:rsid w:val="32AC0C4F"/>
    <w:rsid w:val="32D00CE6"/>
    <w:rsid w:val="334E7200"/>
    <w:rsid w:val="33CE43FE"/>
    <w:rsid w:val="34002664"/>
    <w:rsid w:val="3416219F"/>
    <w:rsid w:val="346D3DFC"/>
    <w:rsid w:val="34F44665"/>
    <w:rsid w:val="35393B13"/>
    <w:rsid w:val="3606431D"/>
    <w:rsid w:val="36E43B99"/>
    <w:rsid w:val="37031B55"/>
    <w:rsid w:val="370A71F9"/>
    <w:rsid w:val="370E35C6"/>
    <w:rsid w:val="37247A2A"/>
    <w:rsid w:val="37CF76C5"/>
    <w:rsid w:val="39280C4D"/>
    <w:rsid w:val="393202C1"/>
    <w:rsid w:val="39D972C3"/>
    <w:rsid w:val="3BB9725A"/>
    <w:rsid w:val="3BD743E0"/>
    <w:rsid w:val="3C312C7A"/>
    <w:rsid w:val="3C935548"/>
    <w:rsid w:val="3DB10587"/>
    <w:rsid w:val="3E570A9D"/>
    <w:rsid w:val="3FD86A55"/>
    <w:rsid w:val="40196D1E"/>
    <w:rsid w:val="406D16D5"/>
    <w:rsid w:val="4086427F"/>
    <w:rsid w:val="40C4536B"/>
    <w:rsid w:val="40F82145"/>
    <w:rsid w:val="4106638B"/>
    <w:rsid w:val="429D6BFF"/>
    <w:rsid w:val="42C86A10"/>
    <w:rsid w:val="42E95DED"/>
    <w:rsid w:val="430F0235"/>
    <w:rsid w:val="430F0D40"/>
    <w:rsid w:val="43AF5FB6"/>
    <w:rsid w:val="43D11DBD"/>
    <w:rsid w:val="45122B54"/>
    <w:rsid w:val="45862B2A"/>
    <w:rsid w:val="459F684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5A7C77"/>
    <w:rsid w:val="50935AC5"/>
    <w:rsid w:val="510C0F26"/>
    <w:rsid w:val="521207EC"/>
    <w:rsid w:val="5248416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F2201B2"/>
    <w:rsid w:val="7F43647C"/>
    <w:rsid w:val="7FD5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100</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2019-09-09T08:35:59Z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