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00" w:lineRule="exact"/>
        <w:ind w:firstLine="0" w:firstLineChars="0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广州市长期护理保险基本生活照料服务项目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firstLine="880" w:firstLineChars="2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5"/>
        <w:tblW w:w="1346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24"/>
        <w:gridCol w:w="72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tblHeader/>
        </w:trPr>
        <w:tc>
          <w:tcPr>
            <w:tcW w:w="1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after="0" w:line="280" w:lineRule="exact"/>
              <w:ind w:firstLine="480" w:firstLineChars="200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项目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after="0" w:line="280" w:lineRule="exact"/>
              <w:ind w:firstLine="480" w:firstLineChars="200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项目内涵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after="0" w:line="280" w:lineRule="exact"/>
              <w:ind w:firstLine="480" w:firstLineChars="200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基本要求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after="0" w:line="280" w:lineRule="exact"/>
              <w:ind w:firstLine="480" w:firstLineChars="200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（一）环境与安全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1.房间、卫生间清洁及安全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1.保证居住环境安静、整洁、安全、舒适；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2.定期通风，保持室内空气新鲜，无异味；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3.防滑及过道无障碍物；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4.定期清洁房间地板、桌面及家具。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2.毛巾、洗脸盆、便器清洁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洗刷用具及生活用物洁净，摆放适宜。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清洗：1次/日随时清洗用物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3.房间设施安全，按需增设扶手、床栏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1.预防跌倒/坠床或其他意外事件发生；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2.躁动/不合作者建议安装床栏。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left="525"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4.室外活动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确保安全的前提下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Cs w:val="21"/>
              </w:rPr>
              <w:t>，定期安排室外晒太阳，鼓励主动/被动运动。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（二）生活护理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1.床单位整洁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1.每日整理床单位，每月更换被罩、床单、枕巾；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2.保持床单位清洁、干燥、平整、舒适；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3.失能者安全、舒适。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2.协助移动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1.安全移动，不发生跌倒、皮肤破损；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2.根据情况建议购置适当的手杖、拐杖、步行器、轮椅等助行工具。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3.穿衣/更衣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1.帮助起床穿衣、睡前脱衣；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2.按需添减衣物，保持服饰整齐（洁）。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4.面部清洁、梳头和口腔清洁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1.协助漱口、刷牙、棉棒或棉球擦拭及假牙清洁保养；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2.面部清洁无污垢，头发整齐；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3.口腔清洁无异味。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2次/日（早、晚）；需要时实施餐后漱口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5.床上温水擦浴/淋浴协助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1.床上擦浴、轮椅淋浴、按需局部应用润肤露；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2.防受凉，防烫伤；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3.保护失能者隐私，尊重心理需要；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4.固定各种管道，保持通畅；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5.失能者安全、舒适；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6.按需使用润肤露。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夏天：不少于1次/日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冬天：不少于1次/2日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6.床上洗头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1.清洗、吹干头发；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2.头部清洁，无异味、舒适。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1次/周，护理计划定期实施增加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7.剃胡须和理发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保持仪表端庄，舒适。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8.会阴部及肛周清洁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1.会阴清洁，无异味；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2.肛周清洁；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3.注意保护隐私。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1次/日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大小便污染时及时清洁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9.手、足部清洁 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1.修剪指（趾）甲；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2.清洁/抹洗手、足皮肤；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3.手、足部舒适。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1次/2周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10.睡眠护理 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1.睡前洗漱；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2.提供安静、适宜的睡眠环境；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3.保持良好的睡眠姿势与保暖。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（三）对非禁食失能人员协助进食/水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1.管饲（经鼻、经口、胃造瘘注食）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1.操作者要经过专业人员的培训和考核，合格后方可执行；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2.鼻饲前摇高老人床头30-45°或坐位；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3.按需经胃管注入营养物，并做好管饲饮食护理；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4.进食后保持坐姿或半卧位半小时；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5.无误吸发生。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遵医嘱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2.喂饭（经口进食者） 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1.如有吞咽评估结果，根据其报告选择合适的食物种类；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2.送饭到床前，选取合适体位、器具，协助或帮助失能人员进食，饮水；餐后清洗餐具；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3.喂食中观察吞咽情况，无噎食和误吸发生；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4.进食后检查口腔是否有残留食物；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5.饭后协助洗脸、洗手，漱口；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6.无呛咳或误吸。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按时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（四）口服给药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right="420"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协助安全用药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1.了解用药史，按医嘱正确服药；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2.按时服用餐前或餐后药；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3.服药后要确认已服下；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4.管饲者须将药物碾碎溶解后注入；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5.观察药物不良反应；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6.药杯定期清洗。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遵医嘱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（五）卧位护理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1.协助更换体位、拍背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适时更换体位，保持肢体功能位。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2.预防肺部感染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有效翻身拍背、深呼吸及咳嗽，需要时辅助器械排痰。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3.协助肢体功能活动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1.指导主动或被动运动；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2.使用适当用具防止足下垂。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4.压疮预防及护理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1.观察皮肤情况，定时翻身；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2.放置软枕于骨隆突及身体空隙处；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3.保持皮肤清洁；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4.正确固定管道，避免受压。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1次/2小时改变体位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（六）排泄护理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1.失禁护理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1.及时更换纸尿布或尿套，保持会阴部和肛周皮肤干燥完整；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2.排便后用温水清洗肛周皮肤；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3.失能者舒适、房间无异味。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2.床上使用便器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1.排泄物无污染床单位；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2.骶尾部皮肤无破损。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3.留置尿管护理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1.保证尿管固定、通畅；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2.每日进行尿道口及会阴部清洁；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3.妥善固定尿袋，定时放尿。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会阴部每日清洗不少于1次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  <w:vertAlign w:val="superscript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4.尿潴留护理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专业人员指导掌握并进行留置导尿或清洁间歇性导尿术，缓解尿潴留，减轻痛苦。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5.尿排泄障碍者护理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指导膀胱/盆底肌功能训练，改善膀胱/盆底肌功能。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每日3次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6.肠胀气、便秘护理 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1.饮食指导；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2.腹部按摩、热敷，帮助排除肠腔积气，减轻腹胀；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3.必要时开塞露通便。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7.粪便嵌塞护理 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人工取便，解除痛苦。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8.造瘘口护理 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1.保持造瘘口周围皮肤清洁；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2.妥善固定、不渗漏；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3.观察造瘘口有无异常情况；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4.按需更换并清洁便袋。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1次/3-5日，如有渗漏应随时更换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（七）心理慰藉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关注心理需求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1.避免虐待失能人；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2.不可打骂失能人、强迫进食、怠慢失能人等；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3.重视失能人的自尊和情感需求；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4.观察失能人的情绪，预防自杀、自残。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（八）失智护理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1.脱抑制行为护理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1.无因脱抑制行为导致的意外事件发生；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2.维护失智人员的尊严，对其表现的情绪/情感给予安抚。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2.游荡/走失行为护理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1.环境安全，设置相应的围护保障结构，有一定活动空间，设置门禁；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2.缓解失智人员的不良情绪，无意外发生；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3.留存失智人员的近照或录像，在失智人员身上佩戴身份信息标识，包括个人姓名、监护人姓名及联系方式，或佩戴有GPS卫星定位功能的手机或手表，以便走失时寻找。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3.攻击行为护理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1.环境安全、舒适，无刺激因素，无可用于攻击的物品；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2.了解失智人员有无攻击发生前的征兆，努力营造有助舒缓压力的照护环境。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4.精神行为问题护理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1.了解失智人员出现精神行为问题的具体表现；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2.发生视幻觉，应加强夜间室内照明。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5.语言功能维护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1.了解失智人员语言能力；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2.沟通、交流的环境应尽量安静，不可过于嘈杂。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6.定向力功能维护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1.人物定向能力维护：引导失智人员辨认亲人及照护者，指导其念出名字；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2.地点定向能力维护：用颜色或图示标识帮助失智人员辨认房间和床位；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3.时间定向能力维护：提供符合昼夜更迭规律的居住环境，引导失智人员辨识昼夜。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7.运动功能维护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1.掌握失智人员的运动功能状况，选择适宜的运动方式；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2.运动场所安全。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6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护理计划定期实施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58"/>
    <w:rsid w:val="00E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rFonts w:ascii="Tahoma" w:hAnsi="Tahoma"/>
      <w:sz w:val="24"/>
    </w:rPr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Subtitle"/>
    <w:next w:val="1"/>
    <w:qFormat/>
    <w:uiPriority w:val="11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en-US" w:eastAsia="zh-CN" w:bidi="ar-SA"/>
    </w:rPr>
  </w:style>
  <w:style w:type="paragraph" w:customStyle="1" w:styleId="7">
    <w:name w:val="Char Char2 Char"/>
    <w:basedOn w:val="2"/>
    <w:link w:val="6"/>
    <w:qFormat/>
    <w:uiPriority w:val="0"/>
    <w:rPr>
      <w:rFonts w:ascii="Tahoma" w:hAnsi="Tahoma"/>
      <w:sz w:val="24"/>
    </w:rPr>
  </w:style>
  <w:style w:type="character" w:styleId="8">
    <w:name w:val="page number"/>
    <w:basedOn w:val="6"/>
    <w:uiPriority w:val="0"/>
  </w:style>
  <w:style w:type="paragraph" w:customStyle="1" w:styleId="9">
    <w:name w:val="_Style 2"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2019-07-26T03:29:00Z</dcterms:created>
  <dc:creator>文盛</dc:creator>
  <cp:lastModifiedBy>文盛</cp:lastModifiedBy>
  <dcterms:modified xsi:type="dcterms:W3CDTF">2019-07-26T03:35:06Z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