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F40" w:rsidRDefault="00537043">
      <w:pPr>
        <w:spacing w:before="156" w:line="600" w:lineRule="exact"/>
        <w:rPr>
          <w:rFonts w:ascii="黑体" w:eastAsia="黑体" w:hAnsi="黑体" w:cs="黑体"/>
          <w:sz w:val="32"/>
          <w:szCs w:val="32"/>
        </w:rPr>
      </w:pPr>
      <w:bookmarkStart w:id="0" w:name="_GoBack"/>
      <w:bookmarkEnd w:id="0"/>
      <w:r>
        <w:rPr>
          <w:rFonts w:ascii="黑体" w:eastAsia="黑体" w:hAnsi="黑体" w:cs="黑体" w:hint="eastAsia"/>
          <w:sz w:val="32"/>
          <w:szCs w:val="32"/>
        </w:rPr>
        <w:t>附件</w:t>
      </w:r>
      <w:r w:rsidR="00FA0D7E">
        <w:rPr>
          <w:rFonts w:ascii="黑体" w:eastAsia="黑体" w:hAnsi="黑体" w:cs="黑体" w:hint="eastAsia"/>
          <w:sz w:val="32"/>
          <w:szCs w:val="32"/>
        </w:rPr>
        <w:t>2</w:t>
      </w:r>
    </w:p>
    <w:p w:rsidR="00004F40" w:rsidRDefault="00004F40">
      <w:pPr>
        <w:spacing w:before="156" w:line="600" w:lineRule="exact"/>
        <w:jc w:val="center"/>
        <w:rPr>
          <w:rFonts w:ascii="黑体" w:eastAsia="黑体" w:hAnsi="黑体" w:cs="黑体"/>
          <w:b/>
          <w:sz w:val="36"/>
          <w:szCs w:val="36"/>
        </w:rPr>
      </w:pPr>
    </w:p>
    <w:p w:rsidR="00004F40" w:rsidRDefault="00004F40">
      <w:pPr>
        <w:spacing w:before="156" w:line="600" w:lineRule="exact"/>
        <w:jc w:val="center"/>
        <w:rPr>
          <w:rFonts w:ascii="黑体" w:eastAsia="黑体" w:hAnsi="黑体" w:cs="黑体"/>
          <w:b/>
          <w:sz w:val="36"/>
          <w:szCs w:val="36"/>
        </w:rPr>
      </w:pPr>
    </w:p>
    <w:p w:rsidR="00004F40" w:rsidRDefault="00004F40">
      <w:pPr>
        <w:spacing w:before="156" w:line="600" w:lineRule="exact"/>
        <w:jc w:val="center"/>
        <w:rPr>
          <w:rFonts w:ascii="黑体" w:eastAsia="黑体" w:hAnsi="黑体" w:cs="黑体"/>
          <w:b/>
          <w:sz w:val="36"/>
          <w:szCs w:val="36"/>
        </w:rPr>
      </w:pPr>
    </w:p>
    <w:p w:rsidR="00004F40" w:rsidRDefault="00537043">
      <w:pPr>
        <w:spacing w:before="156" w:line="600" w:lineRule="exact"/>
        <w:jc w:val="center"/>
        <w:rPr>
          <w:rFonts w:ascii="黑体" w:eastAsia="黑体" w:hAnsi="黑体" w:cs="黑体"/>
          <w:b/>
          <w:sz w:val="36"/>
          <w:szCs w:val="36"/>
        </w:rPr>
      </w:pPr>
      <w:r>
        <w:rPr>
          <w:rFonts w:ascii="黑体" w:eastAsia="黑体" w:hAnsi="黑体" w:cs="黑体" w:hint="eastAsia"/>
          <w:b/>
          <w:sz w:val="36"/>
          <w:szCs w:val="36"/>
        </w:rPr>
        <w:t>广州市“智慧+品质”住宅评价指引</w:t>
      </w:r>
    </w:p>
    <w:p w:rsidR="00004F40" w:rsidRDefault="00004F40">
      <w:pPr>
        <w:spacing w:beforeLines="0" w:before="0" w:line="240" w:lineRule="auto"/>
        <w:jc w:val="center"/>
        <w:rPr>
          <w:rFonts w:ascii="黑体" w:eastAsia="黑体" w:hAnsi="黑体" w:cs="黑体"/>
          <w:sz w:val="36"/>
          <w:szCs w:val="36"/>
        </w:rPr>
        <w:sectPr w:rsidR="00004F4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sdt>
      <w:sdtPr>
        <w:rPr>
          <w:rFonts w:ascii="宋体" w:eastAsia="宋体" w:hAnsi="宋体"/>
          <w:sz w:val="21"/>
        </w:rPr>
        <w:id w:val="147479245"/>
        <w:docPartObj>
          <w:docPartGallery w:val="Table of Contents"/>
          <w:docPartUnique/>
        </w:docPartObj>
      </w:sdtPr>
      <w:sdtEndPr>
        <w:rPr>
          <w:b/>
        </w:rPr>
      </w:sdtEndPr>
      <w:sdtContent>
        <w:p w:rsidR="00004F40" w:rsidRDefault="00537043">
          <w:pPr>
            <w:spacing w:beforeLines="0" w:before="0" w:line="240" w:lineRule="auto"/>
            <w:jc w:val="center"/>
          </w:pPr>
          <w:r>
            <w:rPr>
              <w:rFonts w:ascii="黑体" w:eastAsia="黑体" w:hAnsi="黑体" w:cs="黑体" w:hint="eastAsia"/>
              <w:sz w:val="32"/>
              <w:szCs w:val="32"/>
            </w:rPr>
            <w:t>目录</w:t>
          </w:r>
        </w:p>
        <w:p w:rsidR="00004F40" w:rsidRDefault="00537043">
          <w:pPr>
            <w:pStyle w:val="1"/>
            <w:tabs>
              <w:tab w:val="right" w:leader="dot" w:pos="8306"/>
            </w:tabs>
            <w:spacing w:before="156"/>
          </w:pPr>
          <w:r>
            <w:rPr>
              <w:sz w:val="28"/>
              <w:szCs w:val="28"/>
            </w:rPr>
            <w:fldChar w:fldCharType="begin"/>
          </w:r>
          <w:r>
            <w:rPr>
              <w:sz w:val="28"/>
              <w:szCs w:val="28"/>
            </w:rPr>
            <w:instrText xml:space="preserve">TOC \o "1-2" \h \u </w:instrText>
          </w:r>
          <w:r>
            <w:rPr>
              <w:sz w:val="28"/>
              <w:szCs w:val="28"/>
            </w:rPr>
            <w:fldChar w:fldCharType="separate"/>
          </w:r>
          <w:hyperlink w:anchor="_Toc1333510879" w:history="1">
            <w:r>
              <w:rPr>
                <w:rFonts w:ascii="黑体" w:eastAsia="黑体" w:hAnsi="黑体" w:cs="黑体"/>
              </w:rPr>
              <w:t>1    总则</w:t>
            </w:r>
            <w:r>
              <w:tab/>
            </w:r>
            <w:r>
              <w:fldChar w:fldCharType="begin"/>
            </w:r>
            <w:r>
              <w:instrText xml:space="preserve"> PAGEREF _Toc1333510879 \h </w:instrText>
            </w:r>
            <w:r>
              <w:fldChar w:fldCharType="separate"/>
            </w:r>
            <w:r>
              <w:t>1</w:t>
            </w:r>
            <w:r>
              <w:fldChar w:fldCharType="end"/>
            </w:r>
          </w:hyperlink>
        </w:p>
        <w:p w:rsidR="00004F40" w:rsidRDefault="00D32376">
          <w:pPr>
            <w:pStyle w:val="1"/>
            <w:tabs>
              <w:tab w:val="right" w:leader="dot" w:pos="8306"/>
            </w:tabs>
            <w:spacing w:before="156"/>
          </w:pPr>
          <w:hyperlink w:anchor="_Toc1922704561" w:history="1">
            <w:r w:rsidR="00537043">
              <w:rPr>
                <w:rFonts w:ascii="黑体" w:eastAsia="黑体" w:hAnsi="黑体" w:cs="黑体"/>
              </w:rPr>
              <w:t>2     术语</w:t>
            </w:r>
            <w:r w:rsidR="00537043">
              <w:tab/>
            </w:r>
            <w:r w:rsidR="00537043">
              <w:fldChar w:fldCharType="begin"/>
            </w:r>
            <w:r w:rsidR="00537043">
              <w:instrText xml:space="preserve"> PAGEREF _Toc1922704561 \h </w:instrText>
            </w:r>
            <w:r w:rsidR="00537043">
              <w:fldChar w:fldCharType="separate"/>
            </w:r>
            <w:r w:rsidR="00537043">
              <w:t>2</w:t>
            </w:r>
            <w:r w:rsidR="00537043">
              <w:fldChar w:fldCharType="end"/>
            </w:r>
          </w:hyperlink>
        </w:p>
        <w:p w:rsidR="00004F40" w:rsidRDefault="00D32376">
          <w:pPr>
            <w:pStyle w:val="1"/>
            <w:tabs>
              <w:tab w:val="right" w:leader="dot" w:pos="8306"/>
            </w:tabs>
            <w:spacing w:before="156"/>
          </w:pPr>
          <w:hyperlink w:anchor="_Toc338034021" w:history="1">
            <w:r w:rsidR="00537043">
              <w:rPr>
                <w:rFonts w:ascii="黑体" w:eastAsia="黑体" w:hAnsi="黑体" w:cs="黑体"/>
              </w:rPr>
              <w:t>3     评价方法</w:t>
            </w:r>
            <w:r w:rsidR="00537043">
              <w:tab/>
            </w:r>
            <w:r w:rsidR="00537043">
              <w:fldChar w:fldCharType="begin"/>
            </w:r>
            <w:r w:rsidR="00537043">
              <w:instrText xml:space="preserve"> PAGEREF _Toc338034021 \h </w:instrText>
            </w:r>
            <w:r w:rsidR="00537043">
              <w:fldChar w:fldCharType="separate"/>
            </w:r>
            <w:r w:rsidR="00537043">
              <w:t>3</w:t>
            </w:r>
            <w:r w:rsidR="00537043">
              <w:fldChar w:fldCharType="end"/>
            </w:r>
          </w:hyperlink>
        </w:p>
        <w:p w:rsidR="00004F40" w:rsidRDefault="00D32376">
          <w:pPr>
            <w:pStyle w:val="1"/>
            <w:tabs>
              <w:tab w:val="right" w:leader="dot" w:pos="8306"/>
            </w:tabs>
            <w:spacing w:before="156"/>
          </w:pPr>
          <w:hyperlink w:anchor="_Toc378612040" w:history="1">
            <w:r w:rsidR="00537043">
              <w:rPr>
                <w:rFonts w:ascii="黑体" w:eastAsia="黑体" w:hAnsi="黑体" w:cs="黑体"/>
              </w:rPr>
              <w:t>4      基本规定</w:t>
            </w:r>
            <w:r w:rsidR="00537043">
              <w:tab/>
            </w:r>
            <w:r w:rsidR="00537043">
              <w:fldChar w:fldCharType="begin"/>
            </w:r>
            <w:r w:rsidR="00537043">
              <w:instrText xml:space="preserve"> PAGEREF _Toc378612040 \h </w:instrText>
            </w:r>
            <w:r w:rsidR="00537043">
              <w:fldChar w:fldCharType="separate"/>
            </w:r>
            <w:r w:rsidR="00537043">
              <w:t>5</w:t>
            </w:r>
            <w:r w:rsidR="00537043">
              <w:fldChar w:fldCharType="end"/>
            </w:r>
          </w:hyperlink>
        </w:p>
        <w:p w:rsidR="00004F40" w:rsidRDefault="00D32376">
          <w:pPr>
            <w:pStyle w:val="1"/>
            <w:tabs>
              <w:tab w:val="right" w:leader="dot" w:pos="8306"/>
            </w:tabs>
            <w:spacing w:before="156"/>
          </w:pPr>
          <w:hyperlink w:anchor="_Toc1447988044" w:history="1">
            <w:r w:rsidR="00537043">
              <w:rPr>
                <w:rFonts w:ascii="黑体" w:eastAsia="黑体" w:hAnsi="黑体" w:cs="黑体"/>
              </w:rPr>
              <w:t>5     用地与规划</w:t>
            </w:r>
            <w:r w:rsidR="00537043">
              <w:tab/>
            </w:r>
            <w:r w:rsidR="00537043">
              <w:fldChar w:fldCharType="begin"/>
            </w:r>
            <w:r w:rsidR="00537043">
              <w:instrText xml:space="preserve"> PAGEREF _Toc1447988044 \h </w:instrText>
            </w:r>
            <w:r w:rsidR="00537043">
              <w:fldChar w:fldCharType="separate"/>
            </w:r>
            <w:r w:rsidR="00537043">
              <w:t>6</w:t>
            </w:r>
            <w:r w:rsidR="00537043">
              <w:fldChar w:fldCharType="end"/>
            </w:r>
          </w:hyperlink>
        </w:p>
        <w:p w:rsidR="00004F40" w:rsidRDefault="00D32376">
          <w:pPr>
            <w:pStyle w:val="20"/>
            <w:tabs>
              <w:tab w:val="right" w:leader="dot" w:pos="8306"/>
            </w:tabs>
            <w:spacing w:before="156"/>
            <w:ind w:left="480"/>
          </w:pPr>
          <w:hyperlink w:anchor="_Toc686873316" w:history="1">
            <w:r w:rsidR="00537043">
              <w:rPr>
                <w:rFonts w:ascii="宋体" w:eastAsia="宋体" w:hAnsi="宋体" w:cs="宋体"/>
              </w:rPr>
              <w:t>5.1控制项</w:t>
            </w:r>
            <w:r w:rsidR="00537043">
              <w:tab/>
            </w:r>
            <w:r w:rsidR="00537043">
              <w:fldChar w:fldCharType="begin"/>
            </w:r>
            <w:r w:rsidR="00537043">
              <w:instrText xml:space="preserve"> PAGEREF _Toc686873316 \h </w:instrText>
            </w:r>
            <w:r w:rsidR="00537043">
              <w:fldChar w:fldCharType="separate"/>
            </w:r>
            <w:r w:rsidR="00537043">
              <w:t>6</w:t>
            </w:r>
            <w:r w:rsidR="00537043">
              <w:fldChar w:fldCharType="end"/>
            </w:r>
          </w:hyperlink>
        </w:p>
        <w:p w:rsidR="00004F40" w:rsidRDefault="00D32376">
          <w:pPr>
            <w:pStyle w:val="20"/>
            <w:tabs>
              <w:tab w:val="right" w:leader="dot" w:pos="8306"/>
            </w:tabs>
            <w:spacing w:before="156"/>
            <w:ind w:left="480"/>
          </w:pPr>
          <w:hyperlink w:anchor="_Toc1290918393" w:history="1">
            <w:r w:rsidR="00537043">
              <w:rPr>
                <w:rFonts w:ascii="宋体" w:eastAsia="宋体" w:hAnsi="宋体" w:cs="宋体"/>
              </w:rPr>
              <w:t>5.2 得分项</w:t>
            </w:r>
            <w:r w:rsidR="00537043">
              <w:tab/>
            </w:r>
            <w:r w:rsidR="00537043">
              <w:fldChar w:fldCharType="begin"/>
            </w:r>
            <w:r w:rsidR="00537043">
              <w:instrText xml:space="preserve"> PAGEREF _Toc1290918393 \h </w:instrText>
            </w:r>
            <w:r w:rsidR="00537043">
              <w:fldChar w:fldCharType="separate"/>
            </w:r>
            <w:r w:rsidR="00537043">
              <w:t>6</w:t>
            </w:r>
            <w:r w:rsidR="00537043">
              <w:fldChar w:fldCharType="end"/>
            </w:r>
          </w:hyperlink>
        </w:p>
        <w:p w:rsidR="00004F40" w:rsidRDefault="00D32376">
          <w:pPr>
            <w:pStyle w:val="20"/>
            <w:tabs>
              <w:tab w:val="right" w:leader="dot" w:pos="8306"/>
            </w:tabs>
            <w:spacing w:before="156"/>
            <w:ind w:left="480"/>
          </w:pPr>
          <w:hyperlink w:anchor="_Toc802107951" w:history="1">
            <w:r w:rsidR="00537043">
              <w:rPr>
                <w:rFonts w:ascii="宋体" w:eastAsia="宋体" w:hAnsi="宋体" w:cs="宋体"/>
              </w:rPr>
              <w:t>5.3 加分项</w:t>
            </w:r>
            <w:r w:rsidR="00537043">
              <w:tab/>
            </w:r>
            <w:r w:rsidR="00537043">
              <w:fldChar w:fldCharType="begin"/>
            </w:r>
            <w:r w:rsidR="00537043">
              <w:instrText xml:space="preserve"> PAGEREF _Toc802107951 \h </w:instrText>
            </w:r>
            <w:r w:rsidR="00537043">
              <w:fldChar w:fldCharType="separate"/>
            </w:r>
            <w:r w:rsidR="00537043">
              <w:t>7</w:t>
            </w:r>
            <w:r w:rsidR="00537043">
              <w:fldChar w:fldCharType="end"/>
            </w:r>
          </w:hyperlink>
        </w:p>
        <w:p w:rsidR="00004F40" w:rsidRDefault="00D32376">
          <w:pPr>
            <w:pStyle w:val="1"/>
            <w:tabs>
              <w:tab w:val="right" w:leader="dot" w:pos="8306"/>
            </w:tabs>
            <w:spacing w:before="156"/>
          </w:pPr>
          <w:hyperlink w:anchor="_Toc280464254" w:history="1">
            <w:r w:rsidR="00537043">
              <w:rPr>
                <w:rFonts w:ascii="黑体" w:eastAsia="黑体" w:hAnsi="黑体" w:cs="黑体"/>
              </w:rPr>
              <w:t>6     安全与耐久</w:t>
            </w:r>
            <w:r w:rsidR="00537043">
              <w:tab/>
            </w:r>
            <w:r w:rsidR="00537043">
              <w:fldChar w:fldCharType="begin"/>
            </w:r>
            <w:r w:rsidR="00537043">
              <w:instrText xml:space="preserve"> PAGEREF _Toc280464254 \h </w:instrText>
            </w:r>
            <w:r w:rsidR="00537043">
              <w:fldChar w:fldCharType="separate"/>
            </w:r>
            <w:r w:rsidR="00537043">
              <w:t>8</w:t>
            </w:r>
            <w:r w:rsidR="00537043">
              <w:fldChar w:fldCharType="end"/>
            </w:r>
          </w:hyperlink>
        </w:p>
        <w:p w:rsidR="00004F40" w:rsidRDefault="00D32376">
          <w:pPr>
            <w:pStyle w:val="20"/>
            <w:tabs>
              <w:tab w:val="right" w:leader="dot" w:pos="8306"/>
            </w:tabs>
            <w:spacing w:before="156"/>
            <w:ind w:left="480"/>
          </w:pPr>
          <w:hyperlink w:anchor="_Toc2131438925" w:history="1">
            <w:r w:rsidR="00537043">
              <w:rPr>
                <w:rFonts w:ascii="宋体" w:eastAsia="宋体" w:hAnsi="宋体" w:cs="宋体"/>
              </w:rPr>
              <w:t>6.1控制项</w:t>
            </w:r>
            <w:r w:rsidR="00537043">
              <w:tab/>
            </w:r>
            <w:r w:rsidR="00537043">
              <w:fldChar w:fldCharType="begin"/>
            </w:r>
            <w:r w:rsidR="00537043">
              <w:instrText xml:space="preserve"> PAGEREF _Toc2131438925 \h </w:instrText>
            </w:r>
            <w:r w:rsidR="00537043">
              <w:fldChar w:fldCharType="separate"/>
            </w:r>
            <w:r w:rsidR="00537043">
              <w:t>8</w:t>
            </w:r>
            <w:r w:rsidR="00537043">
              <w:fldChar w:fldCharType="end"/>
            </w:r>
          </w:hyperlink>
        </w:p>
        <w:p w:rsidR="00004F40" w:rsidRDefault="00D32376">
          <w:pPr>
            <w:pStyle w:val="20"/>
            <w:tabs>
              <w:tab w:val="right" w:leader="dot" w:pos="8306"/>
            </w:tabs>
            <w:spacing w:before="156"/>
            <w:ind w:left="480"/>
          </w:pPr>
          <w:hyperlink w:anchor="_Toc1000502795" w:history="1">
            <w:r w:rsidR="00537043">
              <w:rPr>
                <w:rFonts w:ascii="宋体" w:eastAsia="宋体" w:hAnsi="宋体" w:cs="宋体"/>
              </w:rPr>
              <w:t>6.2 得分项</w:t>
            </w:r>
            <w:r w:rsidR="00537043">
              <w:tab/>
            </w:r>
            <w:r w:rsidR="00537043">
              <w:fldChar w:fldCharType="begin"/>
            </w:r>
            <w:r w:rsidR="00537043">
              <w:instrText xml:space="preserve"> PAGEREF _Toc1000502795 \h </w:instrText>
            </w:r>
            <w:r w:rsidR="00537043">
              <w:fldChar w:fldCharType="separate"/>
            </w:r>
            <w:r w:rsidR="00537043">
              <w:t>9</w:t>
            </w:r>
            <w:r w:rsidR="00537043">
              <w:fldChar w:fldCharType="end"/>
            </w:r>
          </w:hyperlink>
        </w:p>
        <w:p w:rsidR="00004F40" w:rsidRDefault="00D32376">
          <w:pPr>
            <w:pStyle w:val="20"/>
            <w:tabs>
              <w:tab w:val="right" w:leader="dot" w:pos="8306"/>
            </w:tabs>
            <w:spacing w:before="156"/>
            <w:ind w:left="480"/>
          </w:pPr>
          <w:hyperlink w:anchor="_Toc211618263" w:history="1">
            <w:r w:rsidR="00537043">
              <w:rPr>
                <w:rFonts w:ascii="宋体" w:eastAsia="宋体" w:hAnsi="宋体" w:cs="宋体"/>
              </w:rPr>
              <w:t>6.3 加分项</w:t>
            </w:r>
            <w:r w:rsidR="00537043">
              <w:tab/>
            </w:r>
            <w:r w:rsidR="00537043">
              <w:fldChar w:fldCharType="begin"/>
            </w:r>
            <w:r w:rsidR="00537043">
              <w:instrText xml:space="preserve"> PAGEREF _Toc211618263 \h </w:instrText>
            </w:r>
            <w:r w:rsidR="00537043">
              <w:fldChar w:fldCharType="separate"/>
            </w:r>
            <w:r w:rsidR="00537043">
              <w:t>9</w:t>
            </w:r>
            <w:r w:rsidR="00537043">
              <w:fldChar w:fldCharType="end"/>
            </w:r>
          </w:hyperlink>
        </w:p>
        <w:p w:rsidR="00004F40" w:rsidRDefault="00D32376">
          <w:pPr>
            <w:pStyle w:val="1"/>
            <w:tabs>
              <w:tab w:val="right" w:leader="dot" w:pos="8306"/>
            </w:tabs>
            <w:spacing w:before="156"/>
          </w:pPr>
          <w:hyperlink w:anchor="_Toc309677747" w:history="1">
            <w:r w:rsidR="00537043">
              <w:rPr>
                <w:rFonts w:ascii="黑体" w:eastAsia="黑体" w:hAnsi="黑体" w:cs="黑体"/>
              </w:rPr>
              <w:t>7     舒适与健康</w:t>
            </w:r>
            <w:r w:rsidR="00537043">
              <w:tab/>
            </w:r>
            <w:r w:rsidR="00537043">
              <w:fldChar w:fldCharType="begin"/>
            </w:r>
            <w:r w:rsidR="00537043">
              <w:instrText xml:space="preserve"> PAGEREF _Toc309677747 \h </w:instrText>
            </w:r>
            <w:r w:rsidR="00537043">
              <w:fldChar w:fldCharType="separate"/>
            </w:r>
            <w:r w:rsidR="00537043">
              <w:t>11</w:t>
            </w:r>
            <w:r w:rsidR="00537043">
              <w:fldChar w:fldCharType="end"/>
            </w:r>
          </w:hyperlink>
        </w:p>
        <w:p w:rsidR="00004F40" w:rsidRDefault="00D32376">
          <w:pPr>
            <w:pStyle w:val="20"/>
            <w:tabs>
              <w:tab w:val="right" w:leader="dot" w:pos="8306"/>
            </w:tabs>
            <w:spacing w:before="156"/>
            <w:ind w:left="480"/>
          </w:pPr>
          <w:hyperlink w:anchor="_Toc1023419106" w:history="1">
            <w:r w:rsidR="00537043">
              <w:rPr>
                <w:rFonts w:ascii="宋体" w:eastAsia="宋体" w:hAnsi="宋体" w:cs="宋体"/>
              </w:rPr>
              <w:t>7.1 控制项</w:t>
            </w:r>
            <w:r w:rsidR="00537043">
              <w:tab/>
            </w:r>
            <w:r w:rsidR="00537043">
              <w:fldChar w:fldCharType="begin"/>
            </w:r>
            <w:r w:rsidR="00537043">
              <w:instrText xml:space="preserve"> PAGEREF _Toc1023419106 \h </w:instrText>
            </w:r>
            <w:r w:rsidR="00537043">
              <w:fldChar w:fldCharType="separate"/>
            </w:r>
            <w:r w:rsidR="00537043">
              <w:t>11</w:t>
            </w:r>
            <w:r w:rsidR="00537043">
              <w:fldChar w:fldCharType="end"/>
            </w:r>
          </w:hyperlink>
        </w:p>
        <w:p w:rsidR="00004F40" w:rsidRDefault="00D32376">
          <w:pPr>
            <w:pStyle w:val="20"/>
            <w:tabs>
              <w:tab w:val="right" w:leader="dot" w:pos="8306"/>
            </w:tabs>
            <w:spacing w:before="156"/>
            <w:ind w:left="480"/>
          </w:pPr>
          <w:hyperlink w:anchor="_Toc1691339327" w:history="1">
            <w:r w:rsidR="00537043">
              <w:rPr>
                <w:rFonts w:ascii="宋体" w:eastAsia="宋体" w:hAnsi="宋体" w:cs="宋体"/>
              </w:rPr>
              <w:t>7.2 得分项</w:t>
            </w:r>
            <w:r w:rsidR="00537043">
              <w:tab/>
            </w:r>
            <w:r w:rsidR="00537043">
              <w:fldChar w:fldCharType="begin"/>
            </w:r>
            <w:r w:rsidR="00537043">
              <w:instrText xml:space="preserve"> PAGEREF _Toc1691339327 \h </w:instrText>
            </w:r>
            <w:r w:rsidR="00537043">
              <w:fldChar w:fldCharType="separate"/>
            </w:r>
            <w:r w:rsidR="00537043">
              <w:t>11</w:t>
            </w:r>
            <w:r w:rsidR="00537043">
              <w:fldChar w:fldCharType="end"/>
            </w:r>
          </w:hyperlink>
        </w:p>
        <w:p w:rsidR="00004F40" w:rsidRDefault="00D32376">
          <w:pPr>
            <w:pStyle w:val="20"/>
            <w:tabs>
              <w:tab w:val="right" w:leader="dot" w:pos="8306"/>
            </w:tabs>
            <w:spacing w:before="156"/>
            <w:ind w:left="480"/>
          </w:pPr>
          <w:hyperlink w:anchor="_Toc2104853807" w:history="1">
            <w:r w:rsidR="00537043">
              <w:rPr>
                <w:rFonts w:ascii="宋体" w:eastAsia="宋体" w:hAnsi="宋体" w:cs="宋体"/>
              </w:rPr>
              <w:t>7.3 加分项</w:t>
            </w:r>
            <w:r w:rsidR="00537043">
              <w:tab/>
            </w:r>
            <w:r w:rsidR="00537043">
              <w:fldChar w:fldCharType="begin"/>
            </w:r>
            <w:r w:rsidR="00537043">
              <w:instrText xml:space="preserve"> PAGEREF _Toc2104853807 \h </w:instrText>
            </w:r>
            <w:r w:rsidR="00537043">
              <w:fldChar w:fldCharType="separate"/>
            </w:r>
            <w:r w:rsidR="00537043">
              <w:t>13</w:t>
            </w:r>
            <w:r w:rsidR="00537043">
              <w:fldChar w:fldCharType="end"/>
            </w:r>
          </w:hyperlink>
        </w:p>
        <w:p w:rsidR="00004F40" w:rsidRDefault="00D32376">
          <w:pPr>
            <w:pStyle w:val="1"/>
            <w:tabs>
              <w:tab w:val="right" w:leader="dot" w:pos="8306"/>
            </w:tabs>
            <w:spacing w:before="156"/>
          </w:pPr>
          <w:hyperlink w:anchor="_Toc1866002609" w:history="1">
            <w:r w:rsidR="00537043">
              <w:rPr>
                <w:rFonts w:ascii="黑体" w:eastAsia="黑体" w:hAnsi="黑体" w:cs="黑体"/>
              </w:rPr>
              <w:t>8     节能与环保</w:t>
            </w:r>
            <w:r w:rsidR="00537043">
              <w:tab/>
            </w:r>
            <w:r w:rsidR="00537043">
              <w:fldChar w:fldCharType="begin"/>
            </w:r>
            <w:r w:rsidR="00537043">
              <w:instrText xml:space="preserve"> PAGEREF _Toc1866002609 \h </w:instrText>
            </w:r>
            <w:r w:rsidR="00537043">
              <w:fldChar w:fldCharType="separate"/>
            </w:r>
            <w:r w:rsidR="00537043">
              <w:t>14</w:t>
            </w:r>
            <w:r w:rsidR="00537043">
              <w:fldChar w:fldCharType="end"/>
            </w:r>
          </w:hyperlink>
        </w:p>
        <w:p w:rsidR="00004F40" w:rsidRDefault="00D32376">
          <w:pPr>
            <w:pStyle w:val="20"/>
            <w:tabs>
              <w:tab w:val="right" w:leader="dot" w:pos="8306"/>
            </w:tabs>
            <w:spacing w:before="156"/>
            <w:ind w:left="480"/>
          </w:pPr>
          <w:hyperlink w:anchor="_Toc1703235064" w:history="1">
            <w:r w:rsidR="00537043">
              <w:rPr>
                <w:rFonts w:ascii="宋体" w:eastAsia="宋体" w:hAnsi="宋体" w:cs="宋体"/>
              </w:rPr>
              <w:t>8.1控制项</w:t>
            </w:r>
            <w:r w:rsidR="00537043">
              <w:tab/>
            </w:r>
            <w:r w:rsidR="00537043">
              <w:fldChar w:fldCharType="begin"/>
            </w:r>
            <w:r w:rsidR="00537043">
              <w:instrText xml:space="preserve"> PAGEREF _Toc1703235064 \h </w:instrText>
            </w:r>
            <w:r w:rsidR="00537043">
              <w:fldChar w:fldCharType="separate"/>
            </w:r>
            <w:r w:rsidR="00537043">
              <w:t>14</w:t>
            </w:r>
            <w:r w:rsidR="00537043">
              <w:fldChar w:fldCharType="end"/>
            </w:r>
          </w:hyperlink>
        </w:p>
        <w:p w:rsidR="00004F40" w:rsidRDefault="00D32376">
          <w:pPr>
            <w:pStyle w:val="20"/>
            <w:tabs>
              <w:tab w:val="right" w:leader="dot" w:pos="8306"/>
            </w:tabs>
            <w:spacing w:before="156"/>
            <w:ind w:left="480"/>
          </w:pPr>
          <w:hyperlink w:anchor="_Toc815492365" w:history="1">
            <w:r w:rsidR="00537043">
              <w:rPr>
                <w:rFonts w:eastAsia="Arial" w:cs="Arial"/>
              </w:rPr>
              <w:t>8.2</w:t>
            </w:r>
            <w:r w:rsidR="00537043">
              <w:rPr>
                <w:rFonts w:ascii="宋体" w:eastAsia="宋体" w:hAnsi="宋体" w:cs="宋体"/>
              </w:rPr>
              <w:t>得分项</w:t>
            </w:r>
            <w:r w:rsidR="00537043">
              <w:tab/>
            </w:r>
            <w:r w:rsidR="00537043">
              <w:fldChar w:fldCharType="begin"/>
            </w:r>
            <w:r w:rsidR="00537043">
              <w:instrText xml:space="preserve"> PAGEREF _Toc815492365 \h </w:instrText>
            </w:r>
            <w:r w:rsidR="00537043">
              <w:fldChar w:fldCharType="separate"/>
            </w:r>
            <w:r w:rsidR="00537043">
              <w:t>14</w:t>
            </w:r>
            <w:r w:rsidR="00537043">
              <w:fldChar w:fldCharType="end"/>
            </w:r>
          </w:hyperlink>
        </w:p>
        <w:p w:rsidR="00004F40" w:rsidRDefault="00D32376">
          <w:pPr>
            <w:pStyle w:val="20"/>
            <w:tabs>
              <w:tab w:val="right" w:leader="dot" w:pos="8306"/>
            </w:tabs>
            <w:spacing w:before="156"/>
            <w:ind w:left="480"/>
          </w:pPr>
          <w:hyperlink w:anchor="_Toc554792261" w:history="1">
            <w:r w:rsidR="00537043">
              <w:rPr>
                <w:rFonts w:eastAsia="Arial" w:cs="Arial"/>
              </w:rPr>
              <w:t>8.3</w:t>
            </w:r>
            <w:r w:rsidR="00537043">
              <w:rPr>
                <w:rFonts w:ascii="宋体" w:eastAsia="宋体" w:hAnsi="宋体" w:cs="宋体"/>
              </w:rPr>
              <w:t>加分项</w:t>
            </w:r>
            <w:r w:rsidR="00537043">
              <w:tab/>
            </w:r>
            <w:r w:rsidR="00537043">
              <w:fldChar w:fldCharType="begin"/>
            </w:r>
            <w:r w:rsidR="00537043">
              <w:instrText xml:space="preserve"> PAGEREF _Toc554792261 \h </w:instrText>
            </w:r>
            <w:r w:rsidR="00537043">
              <w:fldChar w:fldCharType="separate"/>
            </w:r>
            <w:r w:rsidR="00537043">
              <w:t>15</w:t>
            </w:r>
            <w:r w:rsidR="00537043">
              <w:fldChar w:fldCharType="end"/>
            </w:r>
          </w:hyperlink>
        </w:p>
        <w:p w:rsidR="00004F40" w:rsidRDefault="00D32376">
          <w:pPr>
            <w:pStyle w:val="1"/>
            <w:tabs>
              <w:tab w:val="right" w:leader="dot" w:pos="8306"/>
            </w:tabs>
            <w:spacing w:before="156"/>
          </w:pPr>
          <w:hyperlink w:anchor="_Toc508313301" w:history="1">
            <w:r w:rsidR="00537043">
              <w:rPr>
                <w:rFonts w:ascii="黑体" w:eastAsia="黑体" w:hAnsi="黑体" w:cs="黑体"/>
              </w:rPr>
              <w:t>9</w:t>
            </w:r>
            <w:r w:rsidR="00537043">
              <w:rPr>
                <w:rFonts w:ascii="Calibri" w:eastAsia="黑体" w:hAnsi="Calibri" w:cs="Calibri"/>
              </w:rPr>
              <w:t>    </w:t>
            </w:r>
            <w:r w:rsidR="00537043">
              <w:rPr>
                <w:rFonts w:ascii="黑体" w:eastAsia="黑体" w:hAnsi="黑体" w:cs="黑体"/>
              </w:rPr>
              <w:t xml:space="preserve"> 智慧与数字</w:t>
            </w:r>
            <w:r w:rsidR="00537043">
              <w:tab/>
            </w:r>
            <w:r w:rsidR="00537043">
              <w:fldChar w:fldCharType="begin"/>
            </w:r>
            <w:r w:rsidR="00537043">
              <w:instrText xml:space="preserve"> PAGEREF _Toc508313301 \h </w:instrText>
            </w:r>
            <w:r w:rsidR="00537043">
              <w:fldChar w:fldCharType="separate"/>
            </w:r>
            <w:r w:rsidR="00537043">
              <w:t>16</w:t>
            </w:r>
            <w:r w:rsidR="00537043">
              <w:fldChar w:fldCharType="end"/>
            </w:r>
          </w:hyperlink>
        </w:p>
        <w:p w:rsidR="00004F40" w:rsidRDefault="00D32376">
          <w:pPr>
            <w:pStyle w:val="20"/>
            <w:tabs>
              <w:tab w:val="right" w:leader="dot" w:pos="8306"/>
            </w:tabs>
            <w:spacing w:before="156"/>
            <w:ind w:left="480"/>
          </w:pPr>
          <w:hyperlink w:anchor="_Toc295588978" w:history="1">
            <w:r w:rsidR="00537043">
              <w:rPr>
                <w:rFonts w:ascii="宋体" w:eastAsia="宋体" w:hAnsi="宋体" w:cs="宋体"/>
              </w:rPr>
              <w:t>9.1 控制项</w:t>
            </w:r>
            <w:r w:rsidR="00537043">
              <w:tab/>
            </w:r>
            <w:r w:rsidR="00537043">
              <w:fldChar w:fldCharType="begin"/>
            </w:r>
            <w:r w:rsidR="00537043">
              <w:instrText xml:space="preserve"> PAGEREF _Toc295588978 \h </w:instrText>
            </w:r>
            <w:r w:rsidR="00537043">
              <w:fldChar w:fldCharType="separate"/>
            </w:r>
            <w:r w:rsidR="00537043">
              <w:t>16</w:t>
            </w:r>
            <w:r w:rsidR="00537043">
              <w:fldChar w:fldCharType="end"/>
            </w:r>
          </w:hyperlink>
        </w:p>
        <w:p w:rsidR="00004F40" w:rsidRDefault="00D32376">
          <w:pPr>
            <w:pStyle w:val="20"/>
            <w:tabs>
              <w:tab w:val="right" w:leader="dot" w:pos="8306"/>
            </w:tabs>
            <w:spacing w:before="156"/>
            <w:ind w:left="480"/>
          </w:pPr>
          <w:hyperlink w:anchor="_Toc923429094" w:history="1">
            <w:r w:rsidR="00537043">
              <w:rPr>
                <w:rFonts w:ascii="宋体" w:eastAsia="宋体" w:hAnsi="宋体" w:cs="宋体"/>
              </w:rPr>
              <w:t>9.2 得分项</w:t>
            </w:r>
            <w:r w:rsidR="00537043">
              <w:tab/>
            </w:r>
            <w:r w:rsidR="00537043">
              <w:fldChar w:fldCharType="begin"/>
            </w:r>
            <w:r w:rsidR="00537043">
              <w:instrText xml:space="preserve"> PAGEREF _Toc923429094 \h </w:instrText>
            </w:r>
            <w:r w:rsidR="00537043">
              <w:fldChar w:fldCharType="separate"/>
            </w:r>
            <w:r w:rsidR="00537043">
              <w:t>17</w:t>
            </w:r>
            <w:r w:rsidR="00537043">
              <w:fldChar w:fldCharType="end"/>
            </w:r>
          </w:hyperlink>
        </w:p>
        <w:p w:rsidR="00004F40" w:rsidRDefault="00D32376">
          <w:pPr>
            <w:pStyle w:val="20"/>
            <w:tabs>
              <w:tab w:val="right" w:leader="dot" w:pos="8306"/>
            </w:tabs>
            <w:spacing w:before="156"/>
            <w:ind w:left="480"/>
          </w:pPr>
          <w:hyperlink w:anchor="_Toc1270547148" w:history="1">
            <w:r w:rsidR="00537043">
              <w:rPr>
                <w:rFonts w:ascii="宋体" w:eastAsia="宋体" w:hAnsi="宋体" w:cs="宋体"/>
              </w:rPr>
              <w:t>9.3 加分项</w:t>
            </w:r>
            <w:r w:rsidR="00537043">
              <w:tab/>
            </w:r>
            <w:r w:rsidR="00537043">
              <w:fldChar w:fldCharType="begin"/>
            </w:r>
            <w:r w:rsidR="00537043">
              <w:instrText xml:space="preserve"> PAGEREF _Toc1270547148 \h </w:instrText>
            </w:r>
            <w:r w:rsidR="00537043">
              <w:fldChar w:fldCharType="separate"/>
            </w:r>
            <w:r w:rsidR="00537043">
              <w:t>18</w:t>
            </w:r>
            <w:r w:rsidR="00537043">
              <w:fldChar w:fldCharType="end"/>
            </w:r>
          </w:hyperlink>
        </w:p>
        <w:p w:rsidR="00004F40" w:rsidRDefault="00D32376">
          <w:pPr>
            <w:pStyle w:val="1"/>
            <w:tabs>
              <w:tab w:val="right" w:leader="dot" w:pos="8306"/>
            </w:tabs>
            <w:spacing w:before="156"/>
          </w:pPr>
          <w:hyperlink w:anchor="_Toc1451471241" w:history="1">
            <w:r w:rsidR="00537043">
              <w:rPr>
                <w:rFonts w:ascii="黑体" w:eastAsia="黑体" w:hAnsi="黑体" w:cs="黑体"/>
              </w:rPr>
              <w:t>10   运营与维护</w:t>
            </w:r>
            <w:r w:rsidR="00537043">
              <w:tab/>
            </w:r>
            <w:r w:rsidR="00537043">
              <w:fldChar w:fldCharType="begin"/>
            </w:r>
            <w:r w:rsidR="00537043">
              <w:instrText xml:space="preserve"> PAGEREF _Toc1451471241 \h </w:instrText>
            </w:r>
            <w:r w:rsidR="00537043">
              <w:fldChar w:fldCharType="separate"/>
            </w:r>
            <w:r w:rsidR="00537043">
              <w:t>20</w:t>
            </w:r>
            <w:r w:rsidR="00537043">
              <w:fldChar w:fldCharType="end"/>
            </w:r>
          </w:hyperlink>
        </w:p>
        <w:p w:rsidR="00004F40" w:rsidRDefault="00D32376">
          <w:pPr>
            <w:pStyle w:val="20"/>
            <w:tabs>
              <w:tab w:val="right" w:leader="dot" w:pos="8306"/>
            </w:tabs>
            <w:spacing w:before="156"/>
            <w:ind w:left="480"/>
          </w:pPr>
          <w:hyperlink w:anchor="_Toc828642491" w:history="1">
            <w:r w:rsidR="00537043">
              <w:rPr>
                <w:rFonts w:ascii="宋体" w:eastAsia="宋体" w:hAnsi="宋体" w:cs="宋体"/>
              </w:rPr>
              <w:t>10.1控制项</w:t>
            </w:r>
            <w:r w:rsidR="00537043">
              <w:tab/>
            </w:r>
            <w:r w:rsidR="00537043">
              <w:fldChar w:fldCharType="begin"/>
            </w:r>
            <w:r w:rsidR="00537043">
              <w:instrText xml:space="preserve"> PAGEREF _Toc828642491 \h </w:instrText>
            </w:r>
            <w:r w:rsidR="00537043">
              <w:fldChar w:fldCharType="separate"/>
            </w:r>
            <w:r w:rsidR="00537043">
              <w:t>20</w:t>
            </w:r>
            <w:r w:rsidR="00537043">
              <w:fldChar w:fldCharType="end"/>
            </w:r>
          </w:hyperlink>
        </w:p>
        <w:p w:rsidR="00004F40" w:rsidRDefault="00D32376">
          <w:pPr>
            <w:pStyle w:val="20"/>
            <w:tabs>
              <w:tab w:val="right" w:leader="dot" w:pos="8306"/>
            </w:tabs>
            <w:spacing w:before="156"/>
            <w:ind w:left="480"/>
          </w:pPr>
          <w:hyperlink w:anchor="_Toc1210933126" w:history="1">
            <w:r w:rsidR="00537043">
              <w:rPr>
                <w:rFonts w:ascii="宋体" w:eastAsia="宋体" w:hAnsi="宋体" w:cs="宋体"/>
              </w:rPr>
              <w:t>10.2 得分项</w:t>
            </w:r>
            <w:r w:rsidR="00537043">
              <w:tab/>
            </w:r>
            <w:r w:rsidR="00537043">
              <w:fldChar w:fldCharType="begin"/>
            </w:r>
            <w:r w:rsidR="00537043">
              <w:instrText xml:space="preserve"> PAGEREF _Toc1210933126 \h </w:instrText>
            </w:r>
            <w:r w:rsidR="00537043">
              <w:fldChar w:fldCharType="separate"/>
            </w:r>
            <w:r w:rsidR="00537043">
              <w:t>20</w:t>
            </w:r>
            <w:r w:rsidR="00537043">
              <w:fldChar w:fldCharType="end"/>
            </w:r>
          </w:hyperlink>
        </w:p>
        <w:p w:rsidR="00004F40" w:rsidRDefault="00D32376">
          <w:pPr>
            <w:pStyle w:val="20"/>
            <w:tabs>
              <w:tab w:val="right" w:leader="dot" w:pos="8306"/>
            </w:tabs>
            <w:spacing w:before="156"/>
            <w:ind w:left="480"/>
          </w:pPr>
          <w:hyperlink w:anchor="_Toc1543349631" w:history="1">
            <w:r w:rsidR="00537043">
              <w:rPr>
                <w:rFonts w:ascii="宋体" w:eastAsia="宋体" w:hAnsi="宋体" w:cs="宋体"/>
              </w:rPr>
              <w:t>10.3 加分项</w:t>
            </w:r>
            <w:r w:rsidR="00537043">
              <w:tab/>
            </w:r>
            <w:r w:rsidR="00537043">
              <w:fldChar w:fldCharType="begin"/>
            </w:r>
            <w:r w:rsidR="00537043">
              <w:instrText xml:space="preserve"> PAGEREF _Toc1543349631 \h </w:instrText>
            </w:r>
            <w:r w:rsidR="00537043">
              <w:fldChar w:fldCharType="separate"/>
            </w:r>
            <w:r w:rsidR="00537043">
              <w:t>21</w:t>
            </w:r>
            <w:r w:rsidR="00537043">
              <w:fldChar w:fldCharType="end"/>
            </w:r>
          </w:hyperlink>
        </w:p>
        <w:p w:rsidR="00004F40" w:rsidRDefault="00D32376">
          <w:pPr>
            <w:pStyle w:val="1"/>
            <w:tabs>
              <w:tab w:val="right" w:leader="dot" w:pos="8306"/>
            </w:tabs>
            <w:spacing w:before="156"/>
          </w:pPr>
          <w:hyperlink w:anchor="_Toc531692500" w:history="1">
            <w:r w:rsidR="00537043">
              <w:rPr>
                <w:rFonts w:ascii="黑体" w:eastAsia="黑体" w:hAnsi="黑体" w:cs="黑体"/>
              </w:rPr>
              <w:t>附录1 “智慧+品质”住宅评价标准得分表</w:t>
            </w:r>
            <w:r w:rsidR="00537043">
              <w:rPr>
                <w:rFonts w:ascii="黑体" w:eastAsia="黑体" w:hAnsi="黑体" w:cs="黑体" w:hint="eastAsia"/>
              </w:rPr>
              <w:t>（见后）</w:t>
            </w:r>
            <w:r w:rsidR="00537043">
              <w:tab/>
            </w:r>
            <w:r w:rsidR="00537043">
              <w:fldChar w:fldCharType="begin"/>
            </w:r>
            <w:r w:rsidR="00537043">
              <w:instrText xml:space="preserve"> PAGEREF _Toc531692500 \h </w:instrText>
            </w:r>
            <w:r w:rsidR="00537043">
              <w:fldChar w:fldCharType="separate"/>
            </w:r>
            <w:r w:rsidR="00537043">
              <w:t>22</w:t>
            </w:r>
            <w:r w:rsidR="00537043">
              <w:fldChar w:fldCharType="end"/>
            </w:r>
          </w:hyperlink>
        </w:p>
        <w:p w:rsidR="00004F40" w:rsidRDefault="00D32376">
          <w:pPr>
            <w:pStyle w:val="1"/>
            <w:tabs>
              <w:tab w:val="right" w:leader="dot" w:pos="8306"/>
            </w:tabs>
            <w:spacing w:before="156"/>
          </w:pPr>
          <w:hyperlink w:anchor="_Toc1633260191" w:history="1">
            <w:r w:rsidR="00537043">
              <w:rPr>
                <w:rFonts w:ascii="黑体" w:eastAsia="黑体" w:hAnsi="黑体" w:cs="黑体" w:hint="eastAsia"/>
              </w:rPr>
              <w:t xml:space="preserve">附录2 </w:t>
            </w:r>
            <w:r w:rsidR="00537043">
              <w:rPr>
                <w:rFonts w:ascii="黑体" w:eastAsia="黑体" w:hAnsi="黑体" w:cs="黑体"/>
              </w:rPr>
              <w:t>“智慧+品质”住宅建设承诺书</w:t>
            </w:r>
            <w:r w:rsidR="00537043">
              <w:tab/>
            </w:r>
            <w:r w:rsidR="00537043">
              <w:fldChar w:fldCharType="begin"/>
            </w:r>
            <w:r w:rsidR="00537043">
              <w:instrText xml:space="preserve"> PAGEREF _Toc1633260191 \h </w:instrText>
            </w:r>
            <w:r w:rsidR="00537043">
              <w:fldChar w:fldCharType="separate"/>
            </w:r>
            <w:r w:rsidR="00537043">
              <w:t>23</w:t>
            </w:r>
            <w:r w:rsidR="00537043">
              <w:fldChar w:fldCharType="end"/>
            </w:r>
          </w:hyperlink>
        </w:p>
        <w:p w:rsidR="00004F40" w:rsidRDefault="00D32376">
          <w:pPr>
            <w:pStyle w:val="1"/>
            <w:tabs>
              <w:tab w:val="right" w:leader="dot" w:pos="8306"/>
            </w:tabs>
            <w:spacing w:before="156"/>
          </w:pPr>
          <w:hyperlink w:anchor="_Toc1019051565" w:history="1">
            <w:r w:rsidR="00537043">
              <w:rPr>
                <w:rFonts w:ascii="黑体" w:eastAsia="黑体" w:hAnsi="黑体" w:cs="黑体"/>
              </w:rPr>
              <w:t>附录</w:t>
            </w:r>
            <w:r w:rsidR="00537043">
              <w:rPr>
                <w:rFonts w:ascii="黑体" w:eastAsia="黑体" w:hAnsi="黑体" w:cs="黑体" w:hint="eastAsia"/>
              </w:rPr>
              <w:t>3 “智慧+品质”住宅自评价报告</w:t>
            </w:r>
            <w:r w:rsidR="00537043">
              <w:tab/>
            </w:r>
            <w:r w:rsidR="00537043">
              <w:fldChar w:fldCharType="begin"/>
            </w:r>
            <w:r w:rsidR="00537043">
              <w:instrText xml:space="preserve"> PAGEREF _Toc1019051565 \h </w:instrText>
            </w:r>
            <w:r w:rsidR="00537043">
              <w:fldChar w:fldCharType="separate"/>
            </w:r>
            <w:r w:rsidR="00537043">
              <w:t>24</w:t>
            </w:r>
            <w:r w:rsidR="00537043">
              <w:fldChar w:fldCharType="end"/>
            </w:r>
          </w:hyperlink>
        </w:p>
        <w:p w:rsidR="00004F40" w:rsidRDefault="00D32376">
          <w:pPr>
            <w:pStyle w:val="1"/>
            <w:tabs>
              <w:tab w:val="right" w:leader="dot" w:pos="8306"/>
            </w:tabs>
            <w:spacing w:before="156"/>
          </w:pPr>
          <w:hyperlink w:anchor="_Toc1865203379" w:history="1">
            <w:r w:rsidR="00537043">
              <w:rPr>
                <w:rFonts w:ascii="黑体" w:eastAsia="黑体" w:hAnsi="黑体" w:cs="黑体"/>
              </w:rPr>
              <w:t>附录</w:t>
            </w:r>
            <w:r w:rsidR="00537043">
              <w:rPr>
                <w:rFonts w:ascii="黑体" w:eastAsia="黑体" w:hAnsi="黑体" w:cs="黑体" w:hint="eastAsia"/>
              </w:rPr>
              <w:t>4 “智慧+品质”住宅实施标准</w:t>
            </w:r>
            <w:r w:rsidR="00537043">
              <w:tab/>
            </w:r>
            <w:r w:rsidR="00537043">
              <w:fldChar w:fldCharType="begin"/>
            </w:r>
            <w:r w:rsidR="00537043">
              <w:instrText xml:space="preserve"> PAGEREF _Toc1865203379 \h </w:instrText>
            </w:r>
            <w:r w:rsidR="00537043">
              <w:fldChar w:fldCharType="separate"/>
            </w:r>
            <w:r w:rsidR="00537043">
              <w:t>26</w:t>
            </w:r>
            <w:r w:rsidR="00537043">
              <w:fldChar w:fldCharType="end"/>
            </w:r>
          </w:hyperlink>
        </w:p>
        <w:p w:rsidR="00004F40" w:rsidRDefault="00537043">
          <w:pPr>
            <w:spacing w:before="156"/>
          </w:pPr>
          <w:r>
            <w:rPr>
              <w:szCs w:val="28"/>
            </w:rPr>
            <w:fldChar w:fldCharType="end"/>
          </w:r>
        </w:p>
      </w:sdtContent>
    </w:sdt>
    <w:p w:rsidR="00004F40" w:rsidRDefault="00004F40">
      <w:pPr>
        <w:pStyle w:val="1"/>
        <w:tabs>
          <w:tab w:val="right" w:leader="dot" w:pos="8306"/>
        </w:tabs>
        <w:spacing w:beforeLines="0" w:before="0"/>
        <w:rPr>
          <w:rFonts w:ascii="黑体" w:eastAsia="黑体" w:hAnsi="黑体" w:cs="黑体"/>
          <w:sz w:val="28"/>
          <w:szCs w:val="28"/>
        </w:rPr>
        <w:sectPr w:rsidR="00004F40">
          <w:footerReference w:type="default" r:id="rId14"/>
          <w:pgSz w:w="11906" w:h="16838"/>
          <w:pgMar w:top="1440" w:right="1800" w:bottom="1440" w:left="1800" w:header="851" w:footer="992" w:gutter="0"/>
          <w:pgNumType w:start="1"/>
          <w:cols w:space="425"/>
          <w:docGrid w:type="lines" w:linePitch="312"/>
        </w:sectPr>
      </w:pPr>
    </w:p>
    <w:p w:rsidR="00004F40" w:rsidRDefault="00537043">
      <w:pPr>
        <w:pStyle w:val="10"/>
        <w:ind w:left="540" w:hanging="540"/>
        <w:jc w:val="center"/>
        <w:rPr>
          <w:rFonts w:ascii="黑体" w:eastAsia="黑体" w:hAnsi="黑体" w:cs="黑体"/>
          <w:sz w:val="28"/>
        </w:rPr>
      </w:pPr>
      <w:bookmarkStart w:id="1" w:name="_Toc1333510879"/>
      <w:r>
        <w:rPr>
          <w:rFonts w:ascii="黑体" w:eastAsia="黑体" w:hAnsi="黑体" w:cs="黑体"/>
          <w:sz w:val="28"/>
        </w:rPr>
        <w:lastRenderedPageBreak/>
        <w:t>1    总则</w:t>
      </w:r>
      <w:bookmarkEnd w:id="1"/>
    </w:p>
    <w:p w:rsidR="00004F40" w:rsidRDefault="00537043">
      <w:pPr>
        <w:spacing w:before="120"/>
        <w:rPr>
          <w:rFonts w:ascii="宋体" w:eastAsia="宋体" w:hAnsi="宋体" w:cs="宋体"/>
        </w:rPr>
      </w:pPr>
      <w:r>
        <w:rPr>
          <w:rFonts w:ascii="宋体" w:eastAsia="宋体" w:hAnsi="宋体" w:cs="宋体"/>
        </w:rPr>
        <w:t>1.0.1为全面提高人居环境品质，满足居住环境的安全韧性、宜居性、健康性、环保性、人文性、智慧性等需求，促进住宅产业的高质量发展，实现社会、环境、经济效益的统一，特指定本综合评价指引。</w:t>
      </w:r>
    </w:p>
    <w:p w:rsidR="00004F40" w:rsidRDefault="00537043">
      <w:pPr>
        <w:spacing w:before="120"/>
        <w:rPr>
          <w:rFonts w:ascii="宋体" w:eastAsia="宋体" w:hAnsi="宋体" w:cs="宋体"/>
        </w:rPr>
      </w:pPr>
      <w:r>
        <w:rPr>
          <w:rFonts w:ascii="宋体" w:eastAsia="宋体" w:hAnsi="宋体" w:cs="宋体"/>
        </w:rPr>
        <w:t>1.0.2本指引适用于广州市新建的住宅项目</w:t>
      </w:r>
      <w:r>
        <w:rPr>
          <w:rFonts w:ascii="宋体" w:eastAsia="宋体" w:hAnsi="宋体" w:cs="宋体" w:hint="eastAsia"/>
        </w:rPr>
        <w:t>，</w:t>
      </w:r>
      <w:r>
        <w:rPr>
          <w:rFonts w:ascii="宋体" w:eastAsia="宋体" w:hAnsi="宋体" w:cs="宋体"/>
        </w:rPr>
        <w:t>包括住宅小区（以下简称“住区”）、多套单栋住宅。</w:t>
      </w:r>
      <w:r>
        <w:rPr>
          <w:rFonts w:ascii="宋体" w:eastAsia="宋体" w:hAnsi="宋体" w:cs="宋体" w:hint="eastAsia"/>
        </w:rPr>
        <w:t>在建、已建的商品住宅项目、</w:t>
      </w:r>
      <w:r>
        <w:rPr>
          <w:rFonts w:ascii="宋体" w:eastAsia="宋体" w:hAnsi="宋体" w:cs="宋体"/>
        </w:rPr>
        <w:t>人才公寓</w:t>
      </w:r>
      <w:r>
        <w:rPr>
          <w:rFonts w:ascii="宋体" w:eastAsia="宋体" w:hAnsi="宋体" w:cs="宋体" w:hint="eastAsia"/>
        </w:rPr>
        <w:t>和</w:t>
      </w:r>
      <w:r>
        <w:rPr>
          <w:rFonts w:ascii="宋体" w:eastAsia="宋体" w:hAnsi="宋体" w:cs="宋体"/>
        </w:rPr>
        <w:t>保障性住房可参考执行。</w:t>
      </w:r>
    </w:p>
    <w:p w:rsidR="00004F40" w:rsidRDefault="00537043">
      <w:pPr>
        <w:spacing w:before="120"/>
        <w:rPr>
          <w:rFonts w:ascii="宋体" w:eastAsia="宋体" w:hAnsi="宋体" w:cs="宋体"/>
        </w:rPr>
      </w:pPr>
      <w:r>
        <w:rPr>
          <w:rFonts w:ascii="宋体" w:eastAsia="宋体" w:hAnsi="宋体" w:cs="宋体"/>
        </w:rPr>
        <w:t>1.0.3评价应在满足基本规定的前提下，从用地与规划、安全与耐久、舒适与健康、节能与环保、智慧与数字、运营与维护六项性能品质进行综合评价。</w:t>
      </w:r>
    </w:p>
    <w:p w:rsidR="00004F40" w:rsidRDefault="00537043">
      <w:pPr>
        <w:spacing w:before="120"/>
        <w:rPr>
          <w:rFonts w:ascii="宋体" w:eastAsia="宋体" w:hAnsi="宋体" w:cs="宋体"/>
        </w:rPr>
      </w:pPr>
      <w:r>
        <w:rPr>
          <w:rFonts w:ascii="宋体" w:eastAsia="宋体" w:hAnsi="宋体" w:cs="宋体"/>
        </w:rPr>
        <w:t>1.0.4评价除应符合本评价指引外，尚应符合国家现行有关标准的规定。</w:t>
      </w:r>
    </w:p>
    <w:p w:rsidR="00004F40" w:rsidRDefault="00004F40">
      <w:pPr>
        <w:snapToGrid/>
        <w:spacing w:before="120"/>
      </w:pPr>
    </w:p>
    <w:p w:rsidR="00004F40" w:rsidRDefault="00004F40">
      <w:pPr>
        <w:spacing w:before="120"/>
      </w:pPr>
    </w:p>
    <w:p w:rsidR="00004F40" w:rsidRDefault="00537043">
      <w:pPr>
        <w:spacing w:before="120"/>
        <w:rPr>
          <w:rFonts w:ascii="黑体" w:eastAsia="黑体" w:hAnsi="黑体" w:cs="黑体"/>
          <w:sz w:val="28"/>
        </w:rPr>
      </w:pPr>
      <w:r>
        <w:rPr>
          <w:rFonts w:ascii="黑体" w:eastAsia="黑体" w:hAnsi="黑体" w:cs="黑体"/>
          <w:sz w:val="28"/>
        </w:rPr>
        <w:br w:type="page"/>
      </w:r>
    </w:p>
    <w:p w:rsidR="00004F40" w:rsidRDefault="00537043">
      <w:pPr>
        <w:pStyle w:val="10"/>
        <w:ind w:left="540" w:hanging="540"/>
        <w:jc w:val="center"/>
      </w:pPr>
      <w:bookmarkStart w:id="2" w:name="_Toc1922704561"/>
      <w:r>
        <w:rPr>
          <w:rFonts w:ascii="黑体" w:eastAsia="黑体" w:hAnsi="黑体" w:cs="黑体"/>
          <w:sz w:val="28"/>
        </w:rPr>
        <w:lastRenderedPageBreak/>
        <w:t>2     术语</w:t>
      </w:r>
      <w:bookmarkEnd w:id="2"/>
    </w:p>
    <w:p w:rsidR="00004F40" w:rsidRDefault="00537043">
      <w:pPr>
        <w:spacing w:before="120"/>
        <w:rPr>
          <w:rFonts w:ascii="宋体" w:eastAsia="宋体" w:hAnsi="宋体" w:cs="宋体"/>
        </w:rPr>
      </w:pPr>
      <w:r>
        <w:rPr>
          <w:rFonts w:ascii="宋体" w:eastAsia="宋体" w:hAnsi="宋体" w:cs="宋体"/>
        </w:rPr>
        <w:t>2.0.1“智慧+品质”住宅</w:t>
      </w:r>
    </w:p>
    <w:p w:rsidR="00004F40" w:rsidRDefault="00537043">
      <w:pPr>
        <w:spacing w:before="120"/>
        <w:rPr>
          <w:rFonts w:ascii="宋体" w:eastAsia="宋体" w:hAnsi="宋体" w:cs="宋体"/>
        </w:rPr>
      </w:pPr>
      <w:r>
        <w:rPr>
          <w:rFonts w:ascii="宋体" w:eastAsia="宋体" w:hAnsi="宋体" w:cs="宋体"/>
        </w:rPr>
        <w:t>基于绿色生态发展和居民健康生活要求，兼顾经济效益、社会效益和环境效益，保证建筑更加宜居、更具韧性、更有智慧，综合体现安全与耐久、舒适与健康、节能与环保、智慧与数字的高质量建筑及住区环境。</w:t>
      </w:r>
    </w:p>
    <w:p w:rsidR="00004F40" w:rsidRDefault="00537043">
      <w:pPr>
        <w:spacing w:before="120"/>
        <w:rPr>
          <w:rFonts w:ascii="宋体" w:eastAsia="宋体" w:hAnsi="宋体" w:cs="宋体"/>
        </w:rPr>
      </w:pPr>
      <w:r>
        <w:rPr>
          <w:rFonts w:ascii="宋体" w:eastAsia="宋体" w:hAnsi="宋体" w:cs="宋体"/>
        </w:rPr>
        <w:t>2.0.2 健康建筑</w:t>
      </w:r>
    </w:p>
    <w:p w:rsidR="00004F40" w:rsidRDefault="00537043">
      <w:pPr>
        <w:spacing w:before="120"/>
        <w:rPr>
          <w:rFonts w:ascii="宋体" w:eastAsia="宋体" w:hAnsi="宋体" w:cs="宋体"/>
        </w:rPr>
      </w:pPr>
      <w:r>
        <w:rPr>
          <w:rFonts w:ascii="宋体" w:eastAsia="宋体" w:hAnsi="宋体" w:cs="宋体"/>
        </w:rPr>
        <w:t>在满足建筑功能的基础上，提供更加健康的环境、设施和服务，促进使用者的生理健康、心理健康和社会健康，实现健康性能提升的建筑。（健康建筑评价标准TASC 02）</w:t>
      </w:r>
    </w:p>
    <w:p w:rsidR="00004F40" w:rsidRDefault="00537043">
      <w:pPr>
        <w:spacing w:before="120"/>
        <w:rPr>
          <w:rFonts w:ascii="宋体" w:eastAsia="宋体" w:hAnsi="宋体" w:cs="宋体"/>
        </w:rPr>
      </w:pPr>
      <w:r>
        <w:rPr>
          <w:rFonts w:ascii="宋体" w:eastAsia="宋体" w:hAnsi="宋体" w:cs="宋体"/>
        </w:rPr>
        <w:t>2.0.3 智慧社区</w:t>
      </w:r>
    </w:p>
    <w:p w:rsidR="00004F40" w:rsidRDefault="00537043">
      <w:pPr>
        <w:spacing w:before="120"/>
        <w:rPr>
          <w:rFonts w:ascii="宋体" w:eastAsia="宋体" w:hAnsi="宋体" w:cs="宋体"/>
        </w:rPr>
      </w:pPr>
      <w:r>
        <w:rPr>
          <w:rFonts w:ascii="宋体" w:eastAsia="宋体" w:hAnsi="宋体" w:cs="宋体"/>
        </w:rPr>
        <w:t>以居住社区为平台，利用（数字）信息技术、做到与城市全方位的信息交互，营造社区高效、安全、健康、便利、环保的居住生活服务环境。（高品质住宅综合评定标准T/TJ 1）</w:t>
      </w:r>
    </w:p>
    <w:p w:rsidR="00004F40" w:rsidRDefault="00537043">
      <w:pPr>
        <w:spacing w:before="120"/>
        <w:rPr>
          <w:rFonts w:ascii="宋体" w:eastAsia="宋体" w:hAnsi="宋体" w:cs="宋体"/>
        </w:rPr>
      </w:pPr>
      <w:r>
        <w:rPr>
          <w:rFonts w:ascii="宋体" w:eastAsia="宋体" w:hAnsi="宋体" w:cs="宋体"/>
        </w:rPr>
        <w:t>2.0.4 数字家庭</w:t>
      </w:r>
    </w:p>
    <w:p w:rsidR="00004F40" w:rsidRDefault="00537043">
      <w:pPr>
        <w:spacing w:before="120"/>
        <w:rPr>
          <w:rFonts w:ascii="宋体" w:eastAsia="宋体" w:hAnsi="宋体" w:cs="宋体"/>
        </w:rPr>
      </w:pPr>
      <w:r>
        <w:rPr>
          <w:rFonts w:ascii="宋体" w:eastAsia="宋体" w:hAnsi="宋体" w:cs="宋体"/>
        </w:rPr>
        <w:t>数字家庭是以住宅为载体，利用物联网、云计算、大数据、移动通信、人工智能等新一代信息技术，实现系统平台、家居产品的互联互通，满足用户信息获取和使用的数字化家庭生活服务系统。（住建部建标【2021】28号文）</w:t>
      </w:r>
    </w:p>
    <w:p w:rsidR="00004F40" w:rsidRDefault="00004F40">
      <w:pPr>
        <w:pStyle w:val="10"/>
        <w:ind w:left="540" w:hanging="540"/>
        <w:jc w:val="center"/>
        <w:rPr>
          <w:rFonts w:ascii="黑体" w:eastAsia="黑体" w:hAnsi="黑体" w:cs="黑体"/>
          <w:sz w:val="28"/>
        </w:rPr>
      </w:pPr>
    </w:p>
    <w:p w:rsidR="00004F40" w:rsidRDefault="00004F40">
      <w:pPr>
        <w:pStyle w:val="10"/>
        <w:rPr>
          <w:rFonts w:ascii="黑体" w:eastAsia="黑体" w:hAnsi="黑体" w:cs="黑体"/>
          <w:sz w:val="28"/>
        </w:rPr>
      </w:pPr>
    </w:p>
    <w:p w:rsidR="00004F40" w:rsidRDefault="00004F40">
      <w:pPr>
        <w:spacing w:before="120"/>
        <w:rPr>
          <w:rFonts w:ascii="黑体" w:eastAsia="黑体" w:hAnsi="黑体" w:cs="黑体"/>
          <w:sz w:val="28"/>
        </w:rPr>
      </w:pPr>
    </w:p>
    <w:p w:rsidR="00004F40" w:rsidRDefault="00004F40">
      <w:pPr>
        <w:pStyle w:val="1"/>
        <w:spacing w:before="120"/>
        <w:rPr>
          <w:rFonts w:ascii="黑体" w:eastAsia="黑体" w:hAnsi="黑体" w:cs="黑体"/>
          <w:sz w:val="28"/>
        </w:rPr>
      </w:pPr>
    </w:p>
    <w:p w:rsidR="00004F40" w:rsidRDefault="00004F40">
      <w:pPr>
        <w:spacing w:before="120"/>
        <w:rPr>
          <w:rFonts w:ascii="黑体" w:eastAsia="黑体" w:hAnsi="黑体" w:cs="黑体"/>
          <w:sz w:val="28"/>
        </w:rPr>
      </w:pPr>
    </w:p>
    <w:p w:rsidR="00004F40" w:rsidRDefault="00004F40">
      <w:pPr>
        <w:pStyle w:val="1"/>
        <w:spacing w:before="120"/>
      </w:pPr>
    </w:p>
    <w:p w:rsidR="00004F40" w:rsidRDefault="00537043">
      <w:pPr>
        <w:spacing w:before="120"/>
        <w:rPr>
          <w:rFonts w:ascii="黑体" w:eastAsia="黑体" w:hAnsi="黑体" w:cs="黑体"/>
          <w:sz w:val="28"/>
        </w:rPr>
      </w:pPr>
      <w:r>
        <w:rPr>
          <w:rFonts w:ascii="黑体" w:eastAsia="黑体" w:hAnsi="黑体" w:cs="黑体"/>
          <w:sz w:val="28"/>
        </w:rPr>
        <w:br w:type="page"/>
      </w:r>
    </w:p>
    <w:p w:rsidR="00004F40" w:rsidRDefault="00537043">
      <w:pPr>
        <w:pStyle w:val="10"/>
        <w:ind w:left="540" w:hanging="540"/>
        <w:jc w:val="center"/>
      </w:pPr>
      <w:bookmarkStart w:id="3" w:name="_Toc338034021"/>
      <w:r>
        <w:rPr>
          <w:rFonts w:ascii="黑体" w:eastAsia="黑体" w:hAnsi="黑体" w:cs="黑体"/>
          <w:sz w:val="28"/>
        </w:rPr>
        <w:lastRenderedPageBreak/>
        <w:t>3     评价方法</w:t>
      </w:r>
      <w:bookmarkEnd w:id="3"/>
    </w:p>
    <w:p w:rsidR="00004F40" w:rsidRDefault="00537043">
      <w:pPr>
        <w:spacing w:before="120"/>
        <w:rPr>
          <w:rFonts w:ascii="宋体" w:eastAsia="宋体" w:hAnsi="宋体" w:cs="宋体"/>
        </w:rPr>
      </w:pPr>
      <w:r>
        <w:rPr>
          <w:rFonts w:ascii="宋体" w:eastAsia="宋体" w:hAnsi="宋体" w:cs="宋体"/>
        </w:rPr>
        <w:t>3.0.1  评价对象为住区和多套（不少于6套）组成的单栋住宅。对涉及的公共性、整体性的环境与资源指标，应以其所属的住区总体指标为准。</w:t>
      </w:r>
    </w:p>
    <w:p w:rsidR="00004F40" w:rsidRDefault="00537043">
      <w:pPr>
        <w:spacing w:before="120"/>
        <w:rPr>
          <w:rFonts w:ascii="宋体" w:eastAsia="宋体" w:hAnsi="宋体" w:cs="宋体"/>
        </w:rPr>
      </w:pPr>
      <w:r>
        <w:rPr>
          <w:rFonts w:ascii="宋体" w:eastAsia="宋体" w:hAnsi="宋体" w:cs="宋体"/>
        </w:rPr>
        <w:t>3.0.2  评价共分为基本规定和专项评价两个部分，基本规定为</w:t>
      </w:r>
      <w:r>
        <w:rPr>
          <w:rFonts w:ascii="宋体" w:eastAsia="宋体" w:hAnsi="宋体" w:cs="宋体" w:hint="eastAsia"/>
        </w:rPr>
        <w:t>基本品质住宅</w:t>
      </w:r>
      <w:r>
        <w:rPr>
          <w:rFonts w:ascii="宋体" w:eastAsia="宋体" w:hAnsi="宋体" w:cs="宋体"/>
        </w:rPr>
        <w:t>设计的总体目标和指标，评价标准为达标或不达标。专项评价</w:t>
      </w:r>
      <w:r>
        <w:rPr>
          <w:rFonts w:ascii="宋体" w:eastAsia="宋体" w:hAnsi="宋体" w:cs="宋体" w:hint="eastAsia"/>
        </w:rPr>
        <w:t>由</w:t>
      </w:r>
      <w:r>
        <w:rPr>
          <w:rFonts w:ascii="宋体" w:eastAsia="宋体" w:hAnsi="宋体" w:cs="宋体"/>
        </w:rPr>
        <w:t>控制性项、得分项</w:t>
      </w:r>
      <w:r>
        <w:rPr>
          <w:rFonts w:ascii="宋体" w:eastAsia="宋体" w:hAnsi="宋体" w:cs="宋体" w:hint="eastAsia"/>
        </w:rPr>
        <w:t>和</w:t>
      </w:r>
      <w:r>
        <w:rPr>
          <w:rFonts w:ascii="宋体" w:eastAsia="宋体" w:hAnsi="宋体" w:cs="宋体"/>
        </w:rPr>
        <w:t>加分项</w:t>
      </w:r>
      <w:r>
        <w:rPr>
          <w:rFonts w:ascii="宋体" w:eastAsia="宋体" w:hAnsi="宋体" w:cs="宋体" w:hint="eastAsia"/>
        </w:rPr>
        <w:t>三项指标组成，涵盖了</w:t>
      </w:r>
      <w:r>
        <w:rPr>
          <w:rFonts w:ascii="宋体" w:eastAsia="宋体" w:hAnsi="宋体" w:cs="宋体"/>
        </w:rPr>
        <w:t>用地与规划、安全与耐久、舒适与健康、节能与环保、智慧与数字、运营与维护六大分项</w:t>
      </w:r>
      <w:r>
        <w:rPr>
          <w:rFonts w:ascii="宋体" w:eastAsia="宋体" w:hAnsi="宋体" w:cs="宋体" w:hint="eastAsia"/>
        </w:rPr>
        <w:t>，控制项评价标准为达标或不达标，</w:t>
      </w:r>
      <w:r>
        <w:rPr>
          <w:rFonts w:ascii="宋体" w:eastAsia="宋体" w:hAnsi="宋体" w:cs="宋体"/>
        </w:rPr>
        <w:t>得分项</w:t>
      </w:r>
      <w:r>
        <w:rPr>
          <w:rFonts w:ascii="宋体" w:eastAsia="宋体" w:hAnsi="宋体" w:cs="宋体" w:hint="eastAsia"/>
        </w:rPr>
        <w:t>和</w:t>
      </w:r>
      <w:r>
        <w:rPr>
          <w:rFonts w:ascii="宋体" w:eastAsia="宋体" w:hAnsi="宋体" w:cs="宋体"/>
        </w:rPr>
        <w:t>加分项评价标准均为具体分值，</w:t>
      </w:r>
      <w:r>
        <w:rPr>
          <w:rFonts w:ascii="宋体" w:eastAsia="宋体" w:hAnsi="宋体" w:cs="宋体" w:hint="eastAsia"/>
        </w:rPr>
        <w:t>综合评分由得分项和加分项组成，</w:t>
      </w:r>
      <w:r>
        <w:rPr>
          <w:rFonts w:ascii="宋体" w:eastAsia="宋体" w:hAnsi="宋体" w:cs="宋体"/>
        </w:rPr>
        <w:t>具体分值项</w:t>
      </w:r>
      <w:r>
        <w:rPr>
          <w:rFonts w:ascii="宋体" w:eastAsia="宋体" w:hAnsi="宋体" w:cs="宋体" w:hint="eastAsia"/>
        </w:rPr>
        <w:t>见</w:t>
      </w:r>
      <w:r>
        <w:rPr>
          <w:rFonts w:ascii="宋体" w:eastAsia="宋体" w:hAnsi="宋体" w:cs="宋体"/>
        </w:rPr>
        <w:t>表3.0.2的相关规定</w:t>
      </w:r>
      <w:r>
        <w:rPr>
          <w:rFonts w:ascii="宋体" w:eastAsia="宋体" w:hAnsi="宋体" w:cs="宋体" w:hint="eastAsia"/>
        </w:rPr>
        <w:t>，</w:t>
      </w:r>
      <w:r>
        <w:rPr>
          <w:rFonts w:ascii="宋体" w:eastAsia="宋体" w:hAnsi="宋体" w:cs="宋体"/>
        </w:rPr>
        <w:t>“智慧+品质”住宅评价标准</w:t>
      </w:r>
      <w:r>
        <w:rPr>
          <w:rFonts w:ascii="宋体" w:eastAsia="宋体" w:hAnsi="宋体" w:cs="宋体" w:hint="eastAsia"/>
        </w:rPr>
        <w:t>自评分表（以下简称“自评分表”）详见附录1</w:t>
      </w:r>
      <w:r>
        <w:rPr>
          <w:rFonts w:ascii="宋体" w:eastAsia="宋体" w:hAnsi="宋体" w:cs="宋体"/>
        </w:rPr>
        <w:t>。</w:t>
      </w:r>
    </w:p>
    <w:p w:rsidR="00004F40" w:rsidRDefault="00537043">
      <w:pPr>
        <w:spacing w:before="120"/>
        <w:jc w:val="center"/>
      </w:pPr>
      <w:r>
        <w:rPr>
          <w:rFonts w:ascii="宋体" w:eastAsia="宋体" w:hAnsi="宋体" w:cs="宋体"/>
        </w:rPr>
        <w:t>表</w:t>
      </w:r>
      <w:r>
        <w:rPr>
          <w:rFonts w:eastAsia="Arial" w:cs="Arial"/>
        </w:rPr>
        <w:t>3.0.2</w:t>
      </w:r>
      <w:r>
        <w:rPr>
          <w:rFonts w:ascii="宋体" w:eastAsia="宋体" w:hAnsi="宋体" w:cs="宋体"/>
        </w:rPr>
        <w:t>评价分类与分值</w:t>
      </w:r>
    </w:p>
    <w:tbl>
      <w:tblPr>
        <w:tblStyle w:val="af0"/>
        <w:tblW w:w="0" w:type="auto"/>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Layout w:type="fixed"/>
        <w:tblLook w:val="04A0" w:firstRow="1" w:lastRow="0" w:firstColumn="1" w:lastColumn="0" w:noHBand="0" w:noVBand="1"/>
      </w:tblPr>
      <w:tblGrid>
        <w:gridCol w:w="1785"/>
        <w:gridCol w:w="945"/>
        <w:gridCol w:w="945"/>
        <w:gridCol w:w="945"/>
        <w:gridCol w:w="945"/>
        <w:gridCol w:w="945"/>
        <w:gridCol w:w="945"/>
        <w:gridCol w:w="1665"/>
      </w:tblGrid>
      <w:tr w:rsidR="00004F40">
        <w:tc>
          <w:tcPr>
            <w:tcW w:w="178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04F40" w:rsidRDefault="00537043">
            <w:pPr>
              <w:spacing w:before="120"/>
              <w:jc w:val="center"/>
              <w:rPr>
                <w:b/>
                <w:bCs/>
              </w:rPr>
            </w:pPr>
            <w:r>
              <w:rPr>
                <w:rFonts w:ascii="宋体" w:eastAsia="宋体" w:hAnsi="宋体" w:cs="宋体"/>
                <w:b/>
                <w:bCs/>
              </w:rPr>
              <w:t>分类</w:t>
            </w:r>
          </w:p>
        </w:tc>
        <w:tc>
          <w:tcPr>
            <w:tcW w:w="5670" w:type="dxa"/>
            <w:gridSpan w:val="6"/>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004F40" w:rsidRDefault="00537043">
            <w:pPr>
              <w:spacing w:before="120"/>
              <w:jc w:val="center"/>
              <w:rPr>
                <w:b/>
                <w:bCs/>
              </w:rPr>
            </w:pPr>
            <w:r>
              <w:rPr>
                <w:rFonts w:ascii="宋体" w:eastAsia="宋体" w:hAnsi="宋体" w:cs="宋体"/>
                <w:b/>
                <w:bCs/>
              </w:rPr>
              <w:t>专项评价</w:t>
            </w:r>
          </w:p>
        </w:tc>
        <w:tc>
          <w:tcPr>
            <w:tcW w:w="1665"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004F40" w:rsidRDefault="00537043">
            <w:pPr>
              <w:spacing w:before="120"/>
              <w:jc w:val="center"/>
              <w:rPr>
                <w:b/>
                <w:bCs/>
              </w:rPr>
            </w:pPr>
            <w:r>
              <w:rPr>
                <w:rFonts w:ascii="宋体" w:eastAsia="宋体" w:hAnsi="宋体" w:cs="宋体"/>
                <w:b/>
                <w:bCs/>
              </w:rPr>
              <w:t>总分值</w:t>
            </w:r>
          </w:p>
        </w:tc>
      </w:tr>
      <w:tr w:rsidR="00004F40">
        <w:tc>
          <w:tcPr>
            <w:tcW w:w="1785" w:type="dxa"/>
            <w:vMerge/>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tcPr>
          <w:p w:rsidR="00004F40" w:rsidRDefault="00004F40">
            <w:pPr>
              <w:snapToGrid/>
              <w:spacing w:before="120" w:line="240" w:lineRule="auto"/>
            </w:pPr>
          </w:p>
        </w:tc>
        <w:tc>
          <w:tcPr>
            <w:tcW w:w="9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4F40" w:rsidRDefault="00537043">
            <w:pPr>
              <w:spacing w:before="120"/>
              <w:rPr>
                <w:b/>
                <w:bCs/>
              </w:rPr>
            </w:pPr>
            <w:r>
              <w:rPr>
                <w:rFonts w:ascii="宋体" w:eastAsia="宋体" w:hAnsi="宋体" w:cs="宋体"/>
                <w:b/>
                <w:bCs/>
              </w:rPr>
              <w:t>用地与规划</w:t>
            </w:r>
          </w:p>
        </w:tc>
        <w:tc>
          <w:tcPr>
            <w:tcW w:w="9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4F40" w:rsidRDefault="00537043">
            <w:pPr>
              <w:spacing w:before="120"/>
              <w:rPr>
                <w:b/>
                <w:bCs/>
              </w:rPr>
            </w:pPr>
            <w:r>
              <w:rPr>
                <w:rFonts w:ascii="宋体" w:eastAsia="宋体" w:hAnsi="宋体" w:cs="宋体"/>
                <w:b/>
                <w:bCs/>
              </w:rPr>
              <w:t>安全与耐久</w:t>
            </w:r>
          </w:p>
        </w:tc>
        <w:tc>
          <w:tcPr>
            <w:tcW w:w="9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4F40" w:rsidRDefault="00537043">
            <w:pPr>
              <w:spacing w:before="120"/>
              <w:rPr>
                <w:b/>
                <w:bCs/>
              </w:rPr>
            </w:pPr>
            <w:r>
              <w:rPr>
                <w:rFonts w:ascii="宋体" w:eastAsia="宋体" w:hAnsi="宋体" w:cs="宋体"/>
                <w:b/>
                <w:bCs/>
              </w:rPr>
              <w:t>舒适与健康</w:t>
            </w:r>
          </w:p>
        </w:tc>
        <w:tc>
          <w:tcPr>
            <w:tcW w:w="9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4F40" w:rsidRDefault="00537043">
            <w:pPr>
              <w:spacing w:before="120"/>
              <w:rPr>
                <w:b/>
                <w:bCs/>
              </w:rPr>
            </w:pPr>
            <w:r>
              <w:rPr>
                <w:rFonts w:ascii="宋体" w:eastAsia="宋体" w:hAnsi="宋体" w:cs="宋体"/>
                <w:b/>
                <w:bCs/>
              </w:rPr>
              <w:t>节能与环保</w:t>
            </w:r>
          </w:p>
        </w:tc>
        <w:tc>
          <w:tcPr>
            <w:tcW w:w="9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4F40" w:rsidRDefault="00537043">
            <w:pPr>
              <w:spacing w:before="120"/>
              <w:rPr>
                <w:b/>
                <w:bCs/>
              </w:rPr>
            </w:pPr>
            <w:r>
              <w:rPr>
                <w:rFonts w:ascii="宋体" w:eastAsia="宋体" w:hAnsi="宋体" w:cs="宋体"/>
                <w:b/>
                <w:bCs/>
              </w:rPr>
              <w:t>智慧与数字</w:t>
            </w:r>
          </w:p>
        </w:tc>
        <w:tc>
          <w:tcPr>
            <w:tcW w:w="9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4F40" w:rsidRDefault="00537043">
            <w:pPr>
              <w:spacing w:before="120"/>
              <w:rPr>
                <w:b/>
                <w:bCs/>
              </w:rPr>
            </w:pPr>
            <w:r>
              <w:rPr>
                <w:rFonts w:ascii="宋体" w:eastAsia="宋体" w:hAnsi="宋体" w:cs="宋体"/>
                <w:b/>
                <w:bCs/>
              </w:rPr>
              <w:t>运营与维护</w:t>
            </w:r>
          </w:p>
        </w:tc>
        <w:tc>
          <w:tcPr>
            <w:tcW w:w="1665" w:type="dxa"/>
            <w:vMerge/>
            <w:tcBorders>
              <w:top w:val="single" w:sz="6" w:space="0" w:color="000000"/>
              <w:left w:val="single" w:sz="4" w:space="0" w:color="auto"/>
              <w:bottom w:val="single" w:sz="6" w:space="0" w:color="000000"/>
              <w:right w:val="single" w:sz="6" w:space="0" w:color="000000"/>
            </w:tcBorders>
            <w:shd w:val="clear" w:color="auto" w:fill="auto"/>
            <w:tcMar>
              <w:top w:w="0" w:type="dxa"/>
              <w:left w:w="108" w:type="dxa"/>
              <w:bottom w:w="0" w:type="dxa"/>
              <w:right w:w="108" w:type="dxa"/>
            </w:tcMar>
          </w:tcPr>
          <w:p w:rsidR="00004F40" w:rsidRDefault="00004F40">
            <w:pPr>
              <w:snapToGrid/>
              <w:spacing w:before="120" w:line="240" w:lineRule="auto"/>
            </w:pPr>
          </w:p>
        </w:tc>
      </w:tr>
      <w:tr w:rsidR="00004F40">
        <w:tc>
          <w:tcPr>
            <w:tcW w:w="1785"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tcPr>
          <w:p w:rsidR="00004F40" w:rsidRDefault="00537043">
            <w:pPr>
              <w:spacing w:before="120"/>
              <w:jc w:val="center"/>
            </w:pPr>
            <w:r>
              <w:rPr>
                <w:rFonts w:ascii="宋体" w:eastAsia="宋体" w:hAnsi="宋体" w:cs="宋体"/>
              </w:rPr>
              <w:t>控制项要求</w:t>
            </w:r>
          </w:p>
        </w:tc>
        <w:tc>
          <w:tcPr>
            <w:tcW w:w="7335" w:type="dxa"/>
            <w:gridSpan w:val="7"/>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4F40" w:rsidRDefault="00537043">
            <w:pPr>
              <w:spacing w:before="120"/>
              <w:jc w:val="center"/>
            </w:pPr>
            <w:r>
              <w:rPr>
                <w:rFonts w:ascii="宋体" w:eastAsia="宋体" w:hAnsi="宋体" w:cs="宋体"/>
              </w:rPr>
              <w:t>达标或不达标</w:t>
            </w:r>
          </w:p>
        </w:tc>
      </w:tr>
      <w:tr w:rsidR="00004F40">
        <w:tc>
          <w:tcPr>
            <w:tcW w:w="1785"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tcPr>
          <w:p w:rsidR="00004F40" w:rsidRDefault="00537043">
            <w:pPr>
              <w:spacing w:before="120"/>
              <w:jc w:val="center"/>
            </w:pPr>
            <w:r>
              <w:rPr>
                <w:rFonts w:ascii="宋体" w:eastAsia="宋体" w:hAnsi="宋体" w:cs="宋体"/>
              </w:rPr>
              <w:t>得分项分值</w:t>
            </w:r>
          </w:p>
        </w:tc>
        <w:tc>
          <w:tcPr>
            <w:tcW w:w="9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4F40" w:rsidRDefault="00537043">
            <w:pPr>
              <w:spacing w:before="120"/>
              <w:jc w:val="center"/>
            </w:pPr>
            <w:r>
              <w:rPr>
                <w:rFonts w:eastAsia="Arial" w:cs="Arial"/>
              </w:rPr>
              <w:t>15</w:t>
            </w:r>
          </w:p>
        </w:tc>
        <w:tc>
          <w:tcPr>
            <w:tcW w:w="9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4F40" w:rsidRDefault="00537043">
            <w:pPr>
              <w:spacing w:before="120"/>
              <w:jc w:val="center"/>
            </w:pPr>
            <w:r>
              <w:rPr>
                <w:rFonts w:eastAsia="Arial" w:cs="Arial"/>
              </w:rPr>
              <w:t>13</w:t>
            </w:r>
          </w:p>
        </w:tc>
        <w:tc>
          <w:tcPr>
            <w:tcW w:w="9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4F40" w:rsidRDefault="00537043">
            <w:pPr>
              <w:spacing w:before="120"/>
              <w:jc w:val="center"/>
            </w:pPr>
            <w:r>
              <w:rPr>
                <w:rFonts w:eastAsia="Arial" w:cs="Arial"/>
              </w:rPr>
              <w:t>30</w:t>
            </w:r>
          </w:p>
        </w:tc>
        <w:tc>
          <w:tcPr>
            <w:tcW w:w="9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4F40" w:rsidRDefault="00537043">
            <w:pPr>
              <w:spacing w:before="120"/>
              <w:jc w:val="center"/>
            </w:pPr>
            <w:r>
              <w:rPr>
                <w:rFonts w:eastAsia="Arial" w:cs="Arial"/>
              </w:rPr>
              <w:t>17</w:t>
            </w:r>
          </w:p>
        </w:tc>
        <w:tc>
          <w:tcPr>
            <w:tcW w:w="9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4F40" w:rsidRDefault="00537043">
            <w:pPr>
              <w:spacing w:before="120"/>
              <w:jc w:val="center"/>
            </w:pPr>
            <w:r>
              <w:rPr>
                <w:rFonts w:eastAsia="宋体" w:cs="Arial" w:hint="eastAsia"/>
              </w:rPr>
              <w:t>25</w:t>
            </w:r>
          </w:p>
        </w:tc>
        <w:tc>
          <w:tcPr>
            <w:tcW w:w="9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4F40" w:rsidRDefault="00537043">
            <w:pPr>
              <w:spacing w:before="120"/>
              <w:jc w:val="center"/>
            </w:pPr>
            <w:r>
              <w:rPr>
                <w:rFonts w:eastAsia="Arial" w:cs="Arial"/>
              </w:rPr>
              <w:t>10</w:t>
            </w:r>
          </w:p>
        </w:tc>
        <w:tc>
          <w:tcPr>
            <w:tcW w:w="16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4F40" w:rsidRDefault="00537043">
            <w:pPr>
              <w:spacing w:before="120"/>
              <w:jc w:val="center"/>
            </w:pPr>
            <w:r>
              <w:rPr>
                <w:rFonts w:eastAsia="Arial" w:cs="Arial"/>
              </w:rPr>
              <w:t>1</w:t>
            </w:r>
            <w:r>
              <w:rPr>
                <w:rFonts w:eastAsia="宋体" w:cs="Arial" w:hint="eastAsia"/>
              </w:rPr>
              <w:t>1</w:t>
            </w:r>
            <w:r>
              <w:rPr>
                <w:rFonts w:eastAsia="Arial" w:cs="Arial"/>
              </w:rPr>
              <w:t>0</w:t>
            </w:r>
            <w:r>
              <w:rPr>
                <w:rFonts w:ascii="宋体" w:eastAsia="宋体" w:hAnsi="宋体" w:cs="宋体"/>
              </w:rPr>
              <w:t>分</w:t>
            </w:r>
          </w:p>
        </w:tc>
      </w:tr>
      <w:tr w:rsidR="00004F40">
        <w:tc>
          <w:tcPr>
            <w:tcW w:w="1785" w:type="dxa"/>
            <w:tcBorders>
              <w:top w:val="single" w:sz="6" w:space="0" w:color="000000"/>
              <w:left w:val="single" w:sz="6" w:space="0" w:color="000000"/>
              <w:bottom w:val="single" w:sz="4" w:space="0" w:color="auto"/>
              <w:right w:val="single" w:sz="4" w:space="0" w:color="auto"/>
            </w:tcBorders>
            <w:shd w:val="clear" w:color="auto" w:fill="auto"/>
            <w:tcMar>
              <w:top w:w="0" w:type="dxa"/>
              <w:left w:w="108" w:type="dxa"/>
              <w:bottom w:w="0" w:type="dxa"/>
              <w:right w:w="108" w:type="dxa"/>
            </w:tcMar>
          </w:tcPr>
          <w:p w:rsidR="00004F40" w:rsidRDefault="00537043">
            <w:pPr>
              <w:spacing w:before="120"/>
              <w:jc w:val="center"/>
            </w:pPr>
            <w:r>
              <w:rPr>
                <w:rFonts w:ascii="宋体" w:eastAsia="宋体" w:hAnsi="宋体" w:cs="宋体"/>
              </w:rPr>
              <w:t>加分项分值</w:t>
            </w:r>
          </w:p>
        </w:tc>
        <w:tc>
          <w:tcPr>
            <w:tcW w:w="9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4F40" w:rsidRDefault="00537043">
            <w:pPr>
              <w:spacing w:before="120"/>
              <w:jc w:val="center"/>
            </w:pPr>
            <w:r>
              <w:rPr>
                <w:rFonts w:eastAsia="Arial" w:cs="Arial"/>
              </w:rPr>
              <w:t>5</w:t>
            </w:r>
          </w:p>
        </w:tc>
        <w:tc>
          <w:tcPr>
            <w:tcW w:w="9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4F40" w:rsidRDefault="00537043">
            <w:pPr>
              <w:spacing w:before="120"/>
              <w:jc w:val="center"/>
            </w:pPr>
            <w:r>
              <w:rPr>
                <w:rFonts w:eastAsia="Arial" w:cs="Arial"/>
              </w:rPr>
              <w:t>3</w:t>
            </w:r>
          </w:p>
        </w:tc>
        <w:tc>
          <w:tcPr>
            <w:tcW w:w="9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4F40" w:rsidRDefault="00537043">
            <w:pPr>
              <w:spacing w:before="120"/>
              <w:jc w:val="center"/>
            </w:pPr>
            <w:r>
              <w:rPr>
                <w:rFonts w:eastAsia="Arial" w:cs="Arial"/>
              </w:rPr>
              <w:t>7</w:t>
            </w:r>
          </w:p>
        </w:tc>
        <w:tc>
          <w:tcPr>
            <w:tcW w:w="9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4F40" w:rsidRDefault="00537043">
            <w:pPr>
              <w:spacing w:before="120"/>
              <w:jc w:val="center"/>
            </w:pPr>
            <w:r>
              <w:t>7</w:t>
            </w:r>
          </w:p>
        </w:tc>
        <w:tc>
          <w:tcPr>
            <w:tcW w:w="9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4F40" w:rsidRDefault="00537043">
            <w:pPr>
              <w:spacing w:before="120"/>
              <w:jc w:val="center"/>
            </w:pPr>
            <w:r>
              <w:rPr>
                <w:rFonts w:hint="eastAsia"/>
              </w:rPr>
              <w:t>11</w:t>
            </w:r>
          </w:p>
        </w:tc>
        <w:tc>
          <w:tcPr>
            <w:tcW w:w="94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4F40" w:rsidRDefault="00537043">
            <w:pPr>
              <w:spacing w:before="120"/>
              <w:jc w:val="center"/>
            </w:pPr>
            <w:r>
              <w:rPr>
                <w:rFonts w:hint="eastAsia"/>
              </w:rPr>
              <w:t>4</w:t>
            </w:r>
          </w:p>
        </w:tc>
        <w:tc>
          <w:tcPr>
            <w:tcW w:w="166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4F40" w:rsidRDefault="00537043">
            <w:pPr>
              <w:spacing w:before="120"/>
              <w:jc w:val="center"/>
            </w:pPr>
            <w:r>
              <w:rPr>
                <w:rFonts w:eastAsia="Arial" w:cs="Arial"/>
              </w:rPr>
              <w:t>3</w:t>
            </w:r>
            <w:r>
              <w:rPr>
                <w:rFonts w:eastAsia="宋体" w:cs="Arial" w:hint="eastAsia"/>
              </w:rPr>
              <w:t>7</w:t>
            </w:r>
            <w:r>
              <w:rPr>
                <w:rFonts w:ascii="宋体" w:eastAsia="宋体" w:hAnsi="宋体" w:cs="宋体"/>
              </w:rPr>
              <w:t>分</w:t>
            </w:r>
          </w:p>
        </w:tc>
      </w:tr>
      <w:tr w:rsidR="00004F40">
        <w:tc>
          <w:tcPr>
            <w:tcW w:w="9120" w:type="dxa"/>
            <w:gridSpan w:val="8"/>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04F40" w:rsidRDefault="00537043">
            <w:pPr>
              <w:spacing w:before="120"/>
              <w:ind w:firstLineChars="200" w:firstLine="480"/>
            </w:pPr>
            <w:r>
              <w:rPr>
                <w:rFonts w:ascii="宋体" w:eastAsia="宋体" w:hAnsi="宋体" w:cs="宋体"/>
              </w:rPr>
              <w:t>注</w:t>
            </w:r>
            <w:r>
              <w:rPr>
                <w:rFonts w:eastAsia="Arial" w:cs="Arial"/>
              </w:rPr>
              <w:t xml:space="preserve">1. </w:t>
            </w:r>
            <w:r>
              <w:rPr>
                <w:rFonts w:ascii="宋体" w:eastAsia="宋体" w:hAnsi="宋体" w:cs="宋体"/>
              </w:rPr>
              <w:t>预评价和设计评价阶段</w:t>
            </w:r>
            <w:r>
              <w:rPr>
                <w:rFonts w:eastAsia="Arial" w:cs="Arial"/>
              </w:rPr>
              <w:t>,10</w:t>
            </w:r>
            <w:r>
              <w:rPr>
                <w:rFonts w:ascii="宋体" w:eastAsia="宋体" w:hAnsi="宋体" w:cs="宋体"/>
              </w:rPr>
              <w:t>运营与维护章节采用承诺制，可直接得分。</w:t>
            </w:r>
          </w:p>
          <w:p w:rsidR="00004F40" w:rsidRDefault="00537043">
            <w:pPr>
              <w:spacing w:before="120"/>
              <w:ind w:firstLine="480"/>
            </w:pPr>
            <w:r>
              <w:rPr>
                <w:rFonts w:ascii="宋体" w:eastAsia="宋体" w:hAnsi="宋体" w:cs="宋体"/>
              </w:rPr>
              <w:t>注</w:t>
            </w:r>
            <w:r>
              <w:rPr>
                <w:rFonts w:eastAsia="Arial" w:cs="Arial"/>
              </w:rPr>
              <w:t xml:space="preserve">2. </w:t>
            </w:r>
            <w:r>
              <w:rPr>
                <w:rFonts w:ascii="宋体" w:eastAsia="宋体" w:hAnsi="宋体" w:cs="宋体"/>
              </w:rPr>
              <w:t>所有评价内容不适用的条款，在</w:t>
            </w:r>
            <w:r>
              <w:rPr>
                <w:rFonts w:ascii="宋体" w:eastAsia="宋体" w:hAnsi="宋体" w:cs="宋体" w:hint="eastAsia"/>
              </w:rPr>
              <w:t>自评</w:t>
            </w:r>
            <w:r>
              <w:rPr>
                <w:rFonts w:ascii="宋体" w:eastAsia="宋体" w:hAnsi="宋体" w:cs="宋体"/>
              </w:rPr>
              <w:t>分表和</w:t>
            </w:r>
            <w:r>
              <w:rPr>
                <w:rFonts w:ascii="宋体" w:eastAsia="宋体" w:hAnsi="宋体" w:cs="宋体" w:hint="eastAsia"/>
              </w:rPr>
              <w:t>评价报告</w:t>
            </w:r>
            <w:r>
              <w:rPr>
                <w:rFonts w:ascii="宋体" w:eastAsia="宋体" w:hAnsi="宋体" w:cs="宋体"/>
              </w:rPr>
              <w:t>中说明原因并附注图纸后，可直接得分。</w:t>
            </w:r>
            <w:r>
              <w:rPr>
                <w:rFonts w:ascii="宋体" w:eastAsia="宋体" w:hAnsi="宋体" w:cs="宋体" w:hint="eastAsia"/>
              </w:rPr>
              <w:t>最终以专家评审意见为准。</w:t>
            </w:r>
          </w:p>
        </w:tc>
      </w:tr>
    </w:tbl>
    <w:p w:rsidR="00004F40" w:rsidRDefault="00004F40">
      <w:pPr>
        <w:spacing w:before="120"/>
        <w:rPr>
          <w:rFonts w:eastAsia="Arial" w:cs="Arial"/>
        </w:rPr>
      </w:pPr>
    </w:p>
    <w:p w:rsidR="00004F40" w:rsidRDefault="00004F40">
      <w:pPr>
        <w:spacing w:before="120"/>
        <w:rPr>
          <w:rFonts w:eastAsia="Arial" w:cs="Arial"/>
        </w:rPr>
      </w:pPr>
    </w:p>
    <w:p w:rsidR="00004F40" w:rsidRDefault="00004F40">
      <w:pPr>
        <w:spacing w:before="120"/>
        <w:rPr>
          <w:rFonts w:eastAsia="Arial" w:cs="Arial"/>
        </w:rPr>
      </w:pPr>
    </w:p>
    <w:p w:rsidR="00004F40" w:rsidRDefault="00004F40">
      <w:pPr>
        <w:spacing w:before="120"/>
        <w:rPr>
          <w:rFonts w:eastAsia="Arial" w:cs="Arial"/>
        </w:rPr>
      </w:pPr>
    </w:p>
    <w:p w:rsidR="00004F40" w:rsidRDefault="00004F40">
      <w:pPr>
        <w:spacing w:before="120"/>
        <w:rPr>
          <w:rFonts w:eastAsia="Arial" w:cs="Arial"/>
        </w:rPr>
      </w:pPr>
    </w:p>
    <w:p w:rsidR="00004F40" w:rsidRDefault="00004F40">
      <w:pPr>
        <w:spacing w:before="120"/>
        <w:rPr>
          <w:rFonts w:eastAsia="Arial" w:cs="Arial"/>
        </w:rPr>
      </w:pPr>
    </w:p>
    <w:p w:rsidR="00004F40" w:rsidRDefault="00004F40">
      <w:pPr>
        <w:spacing w:before="120"/>
        <w:rPr>
          <w:rFonts w:eastAsia="Arial" w:cs="Arial"/>
        </w:rPr>
      </w:pPr>
    </w:p>
    <w:p w:rsidR="00004F40" w:rsidRDefault="00004F40">
      <w:pPr>
        <w:spacing w:before="120"/>
        <w:rPr>
          <w:rFonts w:eastAsia="Arial" w:cs="Arial"/>
        </w:rPr>
      </w:pPr>
    </w:p>
    <w:p w:rsidR="00004F40" w:rsidRDefault="00537043">
      <w:pPr>
        <w:spacing w:before="120"/>
        <w:rPr>
          <w:rFonts w:ascii="宋体" w:eastAsia="宋体" w:hAnsi="宋体" w:cs="宋体"/>
        </w:rPr>
      </w:pPr>
      <w:r>
        <w:rPr>
          <w:rFonts w:ascii="宋体" w:eastAsia="宋体" w:hAnsi="宋体" w:cs="宋体"/>
        </w:rPr>
        <w:t>3.0.3  评价共分为预评价、设计评价和竣工评价三个阶段，各阶段评价应满足表3.0.3的相关规定。</w:t>
      </w:r>
    </w:p>
    <w:p w:rsidR="00004F40" w:rsidRDefault="00537043">
      <w:pPr>
        <w:spacing w:before="120"/>
        <w:jc w:val="center"/>
      </w:pPr>
      <w:r>
        <w:rPr>
          <w:rFonts w:ascii="宋体" w:eastAsia="宋体" w:hAnsi="宋体" w:cs="宋体"/>
        </w:rPr>
        <w:lastRenderedPageBreak/>
        <w:t>表</w:t>
      </w:r>
      <w:r>
        <w:rPr>
          <w:rFonts w:eastAsia="Arial" w:cs="Arial"/>
        </w:rPr>
        <w:t>3.0.3</w:t>
      </w:r>
      <w:r>
        <w:rPr>
          <w:rFonts w:ascii="宋体" w:eastAsia="宋体" w:hAnsi="宋体" w:cs="宋体"/>
        </w:rPr>
        <w:t>各评价阶段评价方法与规定</w:t>
      </w:r>
    </w:p>
    <w:tbl>
      <w:tblPr>
        <w:tblStyle w:val="af0"/>
        <w:tblW w:w="0" w:type="auto"/>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Layout w:type="fixed"/>
        <w:tblLook w:val="04A0" w:firstRow="1" w:lastRow="0" w:firstColumn="1" w:lastColumn="0" w:noHBand="0" w:noVBand="1"/>
      </w:tblPr>
      <w:tblGrid>
        <w:gridCol w:w="1380"/>
        <w:gridCol w:w="2685"/>
        <w:gridCol w:w="5070"/>
      </w:tblGrid>
      <w:tr w:rsidR="00004F40">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04F40" w:rsidRDefault="00537043">
            <w:pPr>
              <w:spacing w:before="120"/>
              <w:jc w:val="center"/>
            </w:pPr>
            <w:r>
              <w:rPr>
                <w:rFonts w:ascii="宋体" w:eastAsia="宋体" w:hAnsi="宋体" w:cs="宋体"/>
                <w:b/>
              </w:rPr>
              <w:t>评价阶段</w:t>
            </w:r>
          </w:p>
        </w:tc>
        <w:tc>
          <w:tcPr>
            <w:tcW w:w="268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04F40" w:rsidRDefault="00537043">
            <w:pPr>
              <w:spacing w:before="120"/>
              <w:jc w:val="center"/>
            </w:pPr>
            <w:r>
              <w:rPr>
                <w:rFonts w:ascii="宋体" w:eastAsia="宋体" w:hAnsi="宋体" w:cs="宋体"/>
                <w:b/>
              </w:rPr>
              <w:t>实施阶段</w:t>
            </w:r>
          </w:p>
        </w:tc>
        <w:tc>
          <w:tcPr>
            <w:tcW w:w="507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04F40" w:rsidRDefault="00537043">
            <w:pPr>
              <w:spacing w:before="120"/>
              <w:jc w:val="center"/>
            </w:pPr>
            <w:r>
              <w:rPr>
                <w:rFonts w:ascii="宋体" w:eastAsia="宋体" w:hAnsi="宋体" w:cs="宋体"/>
                <w:b/>
              </w:rPr>
              <w:t>评价方法及规定</w:t>
            </w:r>
          </w:p>
        </w:tc>
      </w:tr>
      <w:tr w:rsidR="00004F40">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04F40" w:rsidRDefault="00537043">
            <w:pPr>
              <w:spacing w:before="120"/>
              <w:jc w:val="center"/>
            </w:pPr>
            <w:r>
              <w:rPr>
                <w:rFonts w:ascii="宋体" w:eastAsia="宋体" w:hAnsi="宋体" w:cs="宋体"/>
                <w:b/>
              </w:rPr>
              <w:t>预评价</w:t>
            </w:r>
          </w:p>
        </w:tc>
        <w:tc>
          <w:tcPr>
            <w:tcW w:w="2685" w:type="dxa"/>
            <w:tcBorders>
              <w:top w:val="single" w:sz="6" w:space="0" w:color="CBCDD1"/>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004F40" w:rsidRDefault="00537043">
            <w:pPr>
              <w:spacing w:before="120"/>
            </w:pPr>
            <w:r>
              <w:rPr>
                <w:rFonts w:ascii="宋体" w:eastAsia="宋体" w:hAnsi="宋体" w:cs="宋体"/>
              </w:rPr>
              <w:t>项目策划阶段（招</w:t>
            </w:r>
            <w:r>
              <w:rPr>
                <w:rFonts w:ascii="宋体" w:eastAsia="宋体" w:hAnsi="宋体" w:cs="宋体" w:hint="eastAsia"/>
              </w:rPr>
              <w:t>拍挂环节</w:t>
            </w:r>
            <w:r>
              <w:rPr>
                <w:rFonts w:ascii="宋体" w:eastAsia="宋体" w:hAnsi="宋体" w:cs="宋体"/>
              </w:rPr>
              <w:t>）</w:t>
            </w:r>
          </w:p>
        </w:tc>
        <w:tc>
          <w:tcPr>
            <w:tcW w:w="5070" w:type="dxa"/>
            <w:tcBorders>
              <w:top w:val="single" w:sz="6" w:space="0" w:color="CBCDD1"/>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004F40" w:rsidRDefault="00537043">
            <w:pPr>
              <w:spacing w:before="120"/>
            </w:pPr>
            <w:r>
              <w:rPr>
                <w:rFonts w:ascii="宋体" w:eastAsia="宋体" w:hAnsi="宋体" w:cs="宋体" w:hint="eastAsia"/>
              </w:rPr>
              <w:t>提供“智慧+品质”住宅建设内容及评分和《“智慧+品质”住宅建设承诺书》（详见附录1.2）</w:t>
            </w:r>
          </w:p>
        </w:tc>
      </w:tr>
      <w:tr w:rsidR="00004F40">
        <w:tc>
          <w:tcPr>
            <w:tcW w:w="1380"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tcPr>
          <w:p w:rsidR="00004F40" w:rsidRDefault="00537043">
            <w:pPr>
              <w:spacing w:before="120"/>
              <w:jc w:val="center"/>
            </w:pPr>
            <w:r>
              <w:rPr>
                <w:rFonts w:ascii="宋体" w:eastAsia="宋体" w:hAnsi="宋体" w:cs="宋体"/>
                <w:b/>
              </w:rPr>
              <w:t>设计评价</w:t>
            </w:r>
          </w:p>
        </w:tc>
        <w:tc>
          <w:tcPr>
            <w:tcW w:w="2685" w:type="dxa"/>
            <w:tcBorders>
              <w:top w:val="single" w:sz="4" w:space="0" w:color="auto"/>
              <w:left w:val="single" w:sz="4" w:space="0" w:color="auto"/>
              <w:bottom w:val="single" w:sz="4" w:space="0" w:color="auto"/>
              <w:right w:val="single" w:sz="6" w:space="0" w:color="000000"/>
            </w:tcBorders>
            <w:shd w:val="clear" w:color="auto" w:fill="auto"/>
            <w:tcMar>
              <w:top w:w="0" w:type="dxa"/>
              <w:left w:w="108" w:type="dxa"/>
              <w:bottom w:w="0" w:type="dxa"/>
              <w:right w:w="108" w:type="dxa"/>
            </w:tcMar>
          </w:tcPr>
          <w:p w:rsidR="00004F40" w:rsidRDefault="00537043">
            <w:pPr>
              <w:spacing w:before="120"/>
            </w:pPr>
            <w:r>
              <w:rPr>
                <w:rFonts w:ascii="宋体" w:eastAsia="宋体" w:hAnsi="宋体" w:cs="宋体" w:hint="eastAsia"/>
              </w:rPr>
              <w:t>施工图设计阶段（施工图审查合格前）</w:t>
            </w:r>
          </w:p>
        </w:tc>
        <w:tc>
          <w:tcPr>
            <w:tcW w:w="5070" w:type="dxa"/>
            <w:tcBorders>
              <w:top w:val="single" w:sz="4" w:space="0" w:color="auto"/>
              <w:left w:val="single" w:sz="6" w:space="0" w:color="000000"/>
              <w:bottom w:val="single" w:sz="4" w:space="0" w:color="auto"/>
              <w:right w:val="single" w:sz="4" w:space="0" w:color="auto"/>
            </w:tcBorders>
            <w:shd w:val="clear" w:color="auto" w:fill="auto"/>
            <w:tcMar>
              <w:top w:w="0" w:type="dxa"/>
              <w:left w:w="108" w:type="dxa"/>
              <w:bottom w:w="0" w:type="dxa"/>
              <w:right w:w="108" w:type="dxa"/>
            </w:tcMar>
          </w:tcPr>
          <w:p w:rsidR="00004F40" w:rsidRDefault="00537043">
            <w:pPr>
              <w:spacing w:before="120"/>
              <w:rPr>
                <w:rFonts w:eastAsia="宋体"/>
              </w:rPr>
            </w:pPr>
            <w:r>
              <w:rPr>
                <w:rFonts w:ascii="宋体" w:eastAsia="宋体" w:hAnsi="宋体" w:cs="宋体" w:hint="eastAsia"/>
              </w:rPr>
              <w:t>提供自评分表和自评价报告（详见附录3）、</w:t>
            </w:r>
            <w:r>
              <w:rPr>
                <w:rFonts w:ascii="宋体" w:eastAsia="宋体" w:hAnsi="宋体" w:cs="宋体"/>
              </w:rPr>
              <w:t>专家评定报告、</w:t>
            </w:r>
            <w:r>
              <w:rPr>
                <w:rFonts w:ascii="宋体" w:eastAsia="宋体" w:hAnsi="宋体" w:cs="宋体" w:hint="eastAsia"/>
              </w:rPr>
              <w:t>计算书、具体措施说明等相关材料。</w:t>
            </w:r>
          </w:p>
        </w:tc>
      </w:tr>
      <w:tr w:rsidR="00004F40">
        <w:tc>
          <w:tcPr>
            <w:tcW w:w="138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04F40" w:rsidRDefault="00537043">
            <w:pPr>
              <w:spacing w:before="120"/>
              <w:jc w:val="center"/>
            </w:pPr>
            <w:r>
              <w:rPr>
                <w:rFonts w:eastAsia="Arial" w:cs="Arial"/>
                <w:b/>
              </w:rPr>
              <w:t xml:space="preserve">                          </w:t>
            </w:r>
            <w:r>
              <w:rPr>
                <w:rFonts w:ascii="宋体" w:eastAsia="宋体" w:hAnsi="宋体" w:cs="宋体"/>
                <w:b/>
              </w:rPr>
              <w:t>竣工评价</w:t>
            </w:r>
          </w:p>
        </w:tc>
        <w:tc>
          <w:tcPr>
            <w:tcW w:w="2685" w:type="dxa"/>
            <w:tcBorders>
              <w:top w:val="single" w:sz="4" w:space="0" w:color="auto"/>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04F40" w:rsidRDefault="00537043">
            <w:pPr>
              <w:spacing w:before="120"/>
            </w:pPr>
            <w:r>
              <w:rPr>
                <w:rFonts w:ascii="宋体" w:eastAsia="宋体" w:hAnsi="宋体" w:cs="宋体"/>
              </w:rPr>
              <w:t>竣工验收</w:t>
            </w:r>
            <w:r>
              <w:rPr>
                <w:rFonts w:ascii="宋体" w:eastAsia="宋体" w:hAnsi="宋体" w:cs="宋体" w:hint="eastAsia"/>
              </w:rPr>
              <w:t>阶段（</w:t>
            </w:r>
            <w:r>
              <w:rPr>
                <w:rFonts w:ascii="宋体" w:eastAsia="宋体" w:hAnsi="宋体" w:cs="宋体"/>
              </w:rPr>
              <w:t>在联合验收之后，交付之前</w:t>
            </w:r>
            <w:r>
              <w:rPr>
                <w:rFonts w:ascii="宋体" w:eastAsia="宋体" w:hAnsi="宋体" w:cs="宋体" w:hint="eastAsia"/>
              </w:rPr>
              <w:t>完成</w:t>
            </w:r>
            <w:r>
              <w:rPr>
                <w:rFonts w:ascii="宋体" w:eastAsia="宋体" w:hAnsi="宋体" w:cs="宋体"/>
              </w:rPr>
              <w:t>。</w:t>
            </w:r>
            <w:r>
              <w:rPr>
                <w:rFonts w:ascii="宋体" w:eastAsia="宋体" w:hAnsi="宋体" w:cs="宋体" w:hint="eastAsia"/>
              </w:rPr>
              <w:t>）</w:t>
            </w:r>
          </w:p>
        </w:tc>
        <w:tc>
          <w:tcPr>
            <w:tcW w:w="5070" w:type="dxa"/>
            <w:tcBorders>
              <w:top w:val="single" w:sz="4" w:space="0" w:color="auto"/>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004F40" w:rsidRDefault="00537043">
            <w:pPr>
              <w:spacing w:before="120"/>
            </w:pPr>
            <w:r>
              <w:rPr>
                <w:rFonts w:ascii="宋体" w:eastAsia="宋体" w:hAnsi="宋体" w:cs="宋体"/>
              </w:rPr>
              <w:t>提供</w:t>
            </w:r>
            <w:r>
              <w:rPr>
                <w:rFonts w:ascii="宋体" w:eastAsia="宋体" w:hAnsi="宋体" w:cs="宋体" w:hint="eastAsia"/>
              </w:rPr>
              <w:t>自评分表和自评价报告、</w:t>
            </w:r>
            <w:r>
              <w:rPr>
                <w:rFonts w:ascii="宋体" w:eastAsia="宋体" w:hAnsi="宋体" w:cs="宋体"/>
              </w:rPr>
              <w:t>专家评定报告、实测记录、相关资料和五方责任主体共同签署的验收报告。</w:t>
            </w:r>
          </w:p>
        </w:tc>
      </w:tr>
    </w:tbl>
    <w:p w:rsidR="00004F40" w:rsidRDefault="00537043">
      <w:pPr>
        <w:spacing w:before="120"/>
        <w:rPr>
          <w:rFonts w:ascii="宋体" w:eastAsia="宋体" w:hAnsi="宋体" w:cs="宋体"/>
        </w:rPr>
      </w:pPr>
      <w:r>
        <w:rPr>
          <w:rFonts w:ascii="宋体" w:eastAsia="宋体" w:hAnsi="宋体" w:cs="宋体"/>
        </w:rPr>
        <w:t>3.0.4  设计和竣工评价的评定工作应由建设方组织专家进行审议和评定。申报方应充分考虑项目的经济和技术适宜性，选用合理适用的技术、设备材料和服务，对建设和运营进行全过程控制，并应提供相关分析、评分、测试记录和报告（竣工评价阶段），以及各分项和总体的评价报告。</w:t>
      </w:r>
    </w:p>
    <w:p w:rsidR="00004F40" w:rsidRDefault="00004F40">
      <w:pPr>
        <w:spacing w:before="120"/>
      </w:pPr>
    </w:p>
    <w:p w:rsidR="00004F40" w:rsidRDefault="00004F40">
      <w:pPr>
        <w:snapToGrid/>
        <w:spacing w:before="120"/>
      </w:pPr>
    </w:p>
    <w:p w:rsidR="00004F40" w:rsidRDefault="00004F40">
      <w:pPr>
        <w:spacing w:before="120"/>
      </w:pPr>
    </w:p>
    <w:p w:rsidR="00004F40" w:rsidRDefault="00537043">
      <w:pPr>
        <w:spacing w:before="120"/>
        <w:rPr>
          <w:rFonts w:ascii="黑体" w:eastAsia="黑体" w:hAnsi="黑体" w:cs="黑体"/>
          <w:sz w:val="28"/>
        </w:rPr>
      </w:pPr>
      <w:r>
        <w:rPr>
          <w:rFonts w:ascii="黑体" w:eastAsia="黑体" w:hAnsi="黑体" w:cs="黑体"/>
          <w:sz w:val="28"/>
        </w:rPr>
        <w:br w:type="page"/>
      </w:r>
    </w:p>
    <w:p w:rsidR="00004F40" w:rsidRDefault="00537043">
      <w:pPr>
        <w:pStyle w:val="10"/>
        <w:ind w:left="540" w:hanging="540"/>
        <w:jc w:val="center"/>
      </w:pPr>
      <w:bookmarkStart w:id="4" w:name="_Toc378612040"/>
      <w:r>
        <w:rPr>
          <w:rFonts w:ascii="黑体" w:eastAsia="黑体" w:hAnsi="黑体" w:cs="黑体"/>
          <w:sz w:val="28"/>
        </w:rPr>
        <w:lastRenderedPageBreak/>
        <w:t>4      基本规定</w:t>
      </w:r>
      <w:bookmarkEnd w:id="4"/>
    </w:p>
    <w:p w:rsidR="00004F40" w:rsidRDefault="00537043">
      <w:pPr>
        <w:spacing w:before="120"/>
        <w:rPr>
          <w:rFonts w:ascii="宋体" w:eastAsia="宋体" w:hAnsi="宋体" w:cs="宋体"/>
        </w:rPr>
      </w:pPr>
      <w:r>
        <w:rPr>
          <w:rFonts w:ascii="宋体" w:eastAsia="宋体" w:hAnsi="宋体" w:cs="宋体"/>
        </w:rPr>
        <w:t>4.0.1 住宅建筑应按不低于现行《绿色建筑评价标准》GB/T50378的二星级标准。</w:t>
      </w:r>
    </w:p>
    <w:p w:rsidR="00004F40" w:rsidRDefault="00537043">
      <w:pPr>
        <w:spacing w:before="120"/>
        <w:rPr>
          <w:rFonts w:ascii="宋体" w:eastAsia="宋体" w:hAnsi="宋体" w:cs="宋体"/>
        </w:rPr>
      </w:pPr>
      <w:r>
        <w:rPr>
          <w:rFonts w:ascii="宋体" w:eastAsia="宋体" w:hAnsi="宋体" w:cs="宋体" w:hint="eastAsia"/>
        </w:rPr>
        <w:t>4.0.2 住宅建筑均应按不低于现行《装配式建筑评价标准》（GB/T51129-2017）、(DBJ/T 15-163-2019)、（DB4401/T 151-2022）基本级要求。</w:t>
      </w:r>
    </w:p>
    <w:p w:rsidR="00004F40" w:rsidRDefault="00537043">
      <w:pPr>
        <w:spacing w:before="120"/>
        <w:rPr>
          <w:rFonts w:ascii="宋体" w:eastAsia="宋体" w:hAnsi="宋体" w:cs="宋体"/>
        </w:rPr>
      </w:pPr>
      <w:r>
        <w:rPr>
          <w:rFonts w:ascii="宋体" w:eastAsia="宋体" w:hAnsi="宋体" w:cs="宋体"/>
        </w:rPr>
        <w:t>4.0.</w:t>
      </w:r>
      <w:r>
        <w:rPr>
          <w:rFonts w:ascii="宋体" w:eastAsia="宋体" w:hAnsi="宋体" w:cs="宋体" w:hint="eastAsia"/>
        </w:rPr>
        <w:t>3</w:t>
      </w:r>
      <w:r>
        <w:rPr>
          <w:rFonts w:ascii="宋体" w:eastAsia="宋体" w:hAnsi="宋体" w:cs="宋体"/>
        </w:rPr>
        <w:t xml:space="preserve"> 住宅建筑应按不低于现行《健康建筑评价标准》TASC 02的铜级标准。</w:t>
      </w:r>
    </w:p>
    <w:p w:rsidR="00004F40" w:rsidRDefault="00537043">
      <w:pPr>
        <w:spacing w:before="120"/>
        <w:rPr>
          <w:rFonts w:ascii="宋体" w:eastAsia="宋体" w:hAnsi="宋体" w:cs="宋体"/>
        </w:rPr>
      </w:pPr>
      <w:r>
        <w:rPr>
          <w:rFonts w:ascii="宋体" w:eastAsia="宋体" w:hAnsi="宋体" w:cs="宋体"/>
        </w:rPr>
        <w:t>4.0.</w:t>
      </w:r>
      <w:r>
        <w:rPr>
          <w:rFonts w:ascii="宋体" w:eastAsia="宋体" w:hAnsi="宋体" w:cs="宋体" w:hint="eastAsia"/>
        </w:rPr>
        <w:t>4</w:t>
      </w:r>
      <w:r>
        <w:rPr>
          <w:rFonts w:ascii="宋体" w:eastAsia="宋体" w:hAnsi="宋体" w:cs="宋体"/>
        </w:rPr>
        <w:t xml:space="preserve"> 住宅建筑交付的各类用电设备能效等级标准不得低于2级标准</w:t>
      </w:r>
      <w:r>
        <w:rPr>
          <w:rFonts w:ascii="宋体" w:eastAsia="宋体" w:hAnsi="宋体" w:cs="宋体" w:hint="eastAsia"/>
        </w:rPr>
        <w:t>；</w:t>
      </w:r>
      <w:r>
        <w:rPr>
          <w:rFonts w:ascii="宋体" w:eastAsia="宋体" w:hAnsi="宋体" w:cs="宋体"/>
        </w:rPr>
        <w:t>户式中央空调设施能效等级标准不得低于1级标准。</w:t>
      </w:r>
    </w:p>
    <w:p w:rsidR="00004F40" w:rsidRDefault="00537043">
      <w:pPr>
        <w:spacing w:before="120"/>
        <w:rPr>
          <w:rFonts w:ascii="宋体" w:eastAsia="宋体" w:hAnsi="宋体" w:cs="宋体"/>
        </w:rPr>
      </w:pPr>
      <w:r>
        <w:rPr>
          <w:rFonts w:ascii="宋体" w:eastAsia="宋体" w:hAnsi="宋体" w:cs="宋体"/>
        </w:rPr>
        <w:t>4.0.</w:t>
      </w:r>
      <w:r>
        <w:rPr>
          <w:rFonts w:ascii="宋体" w:eastAsia="宋体" w:hAnsi="宋体" w:cs="宋体" w:hint="eastAsia"/>
        </w:rPr>
        <w:t>5</w:t>
      </w:r>
      <w:r>
        <w:rPr>
          <w:rFonts w:ascii="宋体" w:eastAsia="宋体" w:hAnsi="宋体" w:cs="宋体"/>
        </w:rPr>
        <w:t>住区充电桩停车位按100%预留，供电线路安装至各分区的充电桩电表箱，电表箱至各车位的电缆桥架安装到位。</w:t>
      </w:r>
    </w:p>
    <w:p w:rsidR="00004F40" w:rsidRDefault="00537043">
      <w:pPr>
        <w:spacing w:before="120"/>
        <w:rPr>
          <w:rFonts w:ascii="宋体" w:eastAsia="宋体" w:hAnsi="宋体" w:cs="宋体"/>
        </w:rPr>
      </w:pPr>
      <w:r>
        <w:rPr>
          <w:rFonts w:ascii="宋体" w:eastAsia="宋体" w:hAnsi="宋体" w:cs="宋体"/>
        </w:rPr>
        <w:t>4.0.</w:t>
      </w:r>
      <w:r>
        <w:rPr>
          <w:rFonts w:ascii="宋体" w:eastAsia="宋体" w:hAnsi="宋体" w:cs="宋体" w:hint="eastAsia"/>
        </w:rPr>
        <w:t>6</w:t>
      </w:r>
      <w:r>
        <w:rPr>
          <w:rFonts w:ascii="宋体" w:eastAsia="宋体" w:hAnsi="宋体" w:cs="宋体"/>
        </w:rPr>
        <w:t>工程应优选广东省</w:t>
      </w:r>
      <w:r>
        <w:rPr>
          <w:rFonts w:ascii="宋体" w:eastAsia="宋体" w:hAnsi="宋体" w:cs="宋体" w:hint="eastAsia"/>
        </w:rPr>
        <w:t>、</w:t>
      </w:r>
      <w:r>
        <w:rPr>
          <w:rFonts w:ascii="宋体" w:eastAsia="宋体" w:hAnsi="宋体" w:cs="宋体"/>
        </w:rPr>
        <w:t>广州市优质绿色建材。</w:t>
      </w:r>
    </w:p>
    <w:p w:rsidR="00004F40" w:rsidRDefault="00004F40">
      <w:pPr>
        <w:spacing w:before="120"/>
      </w:pPr>
    </w:p>
    <w:p w:rsidR="00004F40" w:rsidRDefault="00004F40">
      <w:pPr>
        <w:snapToGrid/>
        <w:spacing w:before="120"/>
      </w:pPr>
    </w:p>
    <w:p w:rsidR="00004F40" w:rsidRDefault="00004F40">
      <w:pPr>
        <w:spacing w:before="120"/>
      </w:pPr>
    </w:p>
    <w:p w:rsidR="00004F40" w:rsidRDefault="00537043">
      <w:pPr>
        <w:spacing w:before="120"/>
        <w:rPr>
          <w:rFonts w:ascii="黑体" w:eastAsia="黑体" w:hAnsi="黑体" w:cs="黑体"/>
          <w:sz w:val="28"/>
        </w:rPr>
      </w:pPr>
      <w:r>
        <w:rPr>
          <w:rFonts w:ascii="黑体" w:eastAsia="黑体" w:hAnsi="黑体" w:cs="黑体"/>
          <w:sz w:val="28"/>
        </w:rPr>
        <w:br w:type="page"/>
      </w:r>
    </w:p>
    <w:p w:rsidR="00004F40" w:rsidRDefault="00537043">
      <w:pPr>
        <w:pStyle w:val="10"/>
        <w:spacing w:before="240" w:after="240" w:line="576" w:lineRule="auto"/>
        <w:ind w:left="539" w:hanging="539"/>
        <w:jc w:val="center"/>
      </w:pPr>
      <w:bookmarkStart w:id="5" w:name="_Toc1447988044"/>
      <w:r>
        <w:rPr>
          <w:rFonts w:ascii="黑体" w:eastAsia="黑体" w:hAnsi="黑体" w:cs="黑体"/>
          <w:sz w:val="28"/>
        </w:rPr>
        <w:lastRenderedPageBreak/>
        <w:t>5     用地与规划</w:t>
      </w:r>
      <w:bookmarkEnd w:id="5"/>
    </w:p>
    <w:p w:rsidR="00004F40" w:rsidRDefault="00537043">
      <w:pPr>
        <w:pStyle w:val="2"/>
        <w:jc w:val="center"/>
      </w:pPr>
      <w:bookmarkStart w:id="6" w:name="_Toc686873316"/>
      <w:r>
        <w:rPr>
          <w:rFonts w:ascii="宋体" w:eastAsia="宋体" w:hAnsi="宋体" w:cs="宋体"/>
          <w:sz w:val="24"/>
        </w:rPr>
        <w:t>5.1控制项</w:t>
      </w:r>
      <w:bookmarkEnd w:id="6"/>
    </w:p>
    <w:p w:rsidR="00004F40" w:rsidRDefault="00537043">
      <w:pPr>
        <w:spacing w:before="120"/>
        <w:rPr>
          <w:rFonts w:ascii="宋体" w:eastAsia="宋体" w:hAnsi="宋体" w:cs="宋体"/>
        </w:rPr>
      </w:pPr>
      <w:r>
        <w:rPr>
          <w:rFonts w:ascii="宋体" w:eastAsia="宋体" w:hAnsi="宋体" w:cs="宋体"/>
        </w:rPr>
        <w:t>5.1.1【交通便利】住区用地应与公交或地铁交通站点连接便捷，满足15分钟舒适步行距离（800~1000米）</w:t>
      </w:r>
      <w:r>
        <w:rPr>
          <w:rFonts w:ascii="宋体" w:eastAsia="宋体" w:hAnsi="宋体" w:cs="宋体" w:hint="eastAsia"/>
        </w:rPr>
        <w:t>。</w:t>
      </w:r>
    </w:p>
    <w:p w:rsidR="00004F40" w:rsidRDefault="00537043">
      <w:pPr>
        <w:spacing w:before="120"/>
        <w:rPr>
          <w:rFonts w:ascii="宋体" w:eastAsia="宋体" w:hAnsi="宋体" w:cs="宋体"/>
        </w:rPr>
      </w:pPr>
      <w:r>
        <w:rPr>
          <w:rFonts w:ascii="宋体" w:eastAsia="宋体" w:hAnsi="宋体" w:cs="宋体"/>
        </w:rPr>
        <w:t>5.1.2【交通便利】住区幼小配套设施应规划设置入口广场，且应设置机动车、非机动车临时停放场地。</w:t>
      </w:r>
    </w:p>
    <w:p w:rsidR="00004F40" w:rsidRDefault="00537043">
      <w:pPr>
        <w:spacing w:before="120"/>
        <w:rPr>
          <w:rFonts w:ascii="宋体" w:eastAsia="宋体" w:hAnsi="宋体" w:cs="宋体"/>
        </w:rPr>
      </w:pPr>
      <w:r>
        <w:rPr>
          <w:rFonts w:ascii="宋体" w:eastAsia="宋体" w:hAnsi="宋体" w:cs="宋体"/>
        </w:rPr>
        <w:t>5.1.3【空间布局】住区应按照《广州市城乡规划技术规定》或用地条件的相关要求设置公建配套设施。应合理布局餐饮店、生活垃圾收集点、公共厕所等公建配套设施，避免气味、油烟等对居民产生影响。</w:t>
      </w:r>
    </w:p>
    <w:p w:rsidR="00004F40" w:rsidRDefault="00537043">
      <w:pPr>
        <w:spacing w:before="120"/>
        <w:rPr>
          <w:rFonts w:ascii="宋体" w:eastAsia="宋体" w:hAnsi="宋体" w:cs="宋体"/>
        </w:rPr>
      </w:pPr>
      <w:r>
        <w:rPr>
          <w:rFonts w:ascii="宋体" w:eastAsia="宋体" w:hAnsi="宋体" w:cs="宋体"/>
        </w:rPr>
        <w:t>5.1.4【空间布局】住宅建筑应合理布局。建筑间距应大于</w:t>
      </w:r>
      <w:r>
        <w:rPr>
          <w:rFonts w:ascii="宋体" w:eastAsia="宋体" w:hAnsi="宋体" w:cs="宋体" w:hint="eastAsia"/>
        </w:rPr>
        <w:t>或等于</w:t>
      </w:r>
      <w:r>
        <w:rPr>
          <w:rFonts w:ascii="宋体" w:eastAsia="宋体" w:hAnsi="宋体" w:cs="宋体"/>
        </w:rPr>
        <w:t>《广州市城乡规划技术规定》最小间距。应避免仅纯北向开窗的户型（北偏东＜30°至北偏西＜30°）。</w:t>
      </w:r>
    </w:p>
    <w:p w:rsidR="00004F40" w:rsidRDefault="00537043">
      <w:pPr>
        <w:spacing w:before="120"/>
        <w:rPr>
          <w:rFonts w:ascii="宋体" w:eastAsia="宋体" w:hAnsi="宋体" w:cs="宋体"/>
        </w:rPr>
      </w:pPr>
      <w:r>
        <w:rPr>
          <w:rFonts w:ascii="宋体" w:eastAsia="宋体" w:hAnsi="宋体" w:cs="宋体"/>
        </w:rPr>
        <w:t>5.1.5【空间布局】住区应设有集中绿地，园林中超过600mm高的挡墙、花池、跌级、水池都应设置安全防护设施。住区应设置室外幼老活动场地。活动场地应平整、防滑、无尖锐突出物。住区内应设置标识、导视牌和警示牌。</w:t>
      </w:r>
    </w:p>
    <w:p w:rsidR="00004F40" w:rsidRDefault="00537043">
      <w:pPr>
        <w:spacing w:before="120"/>
        <w:rPr>
          <w:rFonts w:ascii="宋体" w:eastAsia="宋体" w:hAnsi="宋体" w:cs="宋体"/>
        </w:rPr>
      </w:pPr>
      <w:r>
        <w:rPr>
          <w:rFonts w:ascii="宋体" w:eastAsia="宋体" w:hAnsi="宋体" w:cs="宋体"/>
        </w:rPr>
        <w:t>5.1.6【配套设施】住宅小区配建停车位必须100%建设充电设施或预留建设安装条件。30%或按规划条件要求线路安装到桥架。应规划设置电动自行车室外集中停放场地和充电设施，应设有遮蔽设施，与住宅间距不应少于9m。</w:t>
      </w:r>
    </w:p>
    <w:p w:rsidR="00004F40" w:rsidRDefault="00537043">
      <w:pPr>
        <w:spacing w:before="120"/>
        <w:rPr>
          <w:rFonts w:ascii="宋体" w:eastAsia="宋体" w:hAnsi="宋体" w:cs="宋体"/>
        </w:rPr>
      </w:pPr>
      <w:r>
        <w:rPr>
          <w:rFonts w:ascii="宋体" w:eastAsia="宋体" w:hAnsi="宋体" w:cs="宋体"/>
        </w:rPr>
        <w:t>5.1.7【配套设施】住区在5分钟生活圈内应规划设置公共应急场地和设施。</w:t>
      </w:r>
    </w:p>
    <w:p w:rsidR="00004F40" w:rsidRDefault="00537043">
      <w:pPr>
        <w:pStyle w:val="2"/>
        <w:jc w:val="center"/>
      </w:pPr>
      <w:bookmarkStart w:id="7" w:name="_Toc1290918393"/>
      <w:r>
        <w:rPr>
          <w:rFonts w:ascii="宋体" w:eastAsia="宋体" w:hAnsi="宋体" w:cs="宋体"/>
          <w:sz w:val="24"/>
        </w:rPr>
        <w:t>5.2 得分项</w:t>
      </w:r>
      <w:bookmarkEnd w:id="7"/>
    </w:p>
    <w:p w:rsidR="00004F40" w:rsidRDefault="00537043">
      <w:pPr>
        <w:spacing w:before="120"/>
        <w:rPr>
          <w:rFonts w:ascii="宋体" w:eastAsia="宋体" w:hAnsi="宋体" w:cs="宋体"/>
        </w:rPr>
      </w:pPr>
      <w:r>
        <w:rPr>
          <w:rFonts w:ascii="宋体" w:eastAsia="宋体" w:hAnsi="宋体" w:cs="宋体"/>
        </w:rPr>
        <w:t>5.2.1【用地】住区规划应充分尊重原始地形地貌，竖向复杂用地应避免大规模开挖推平，保护城乡生态环境、丰富城市环境景观，保护历史文化遗产和特色风貌</w:t>
      </w:r>
      <w:r>
        <w:rPr>
          <w:rFonts w:ascii="宋体" w:eastAsia="宋体" w:hAnsi="宋体" w:cs="宋体" w:hint="eastAsia"/>
        </w:rPr>
        <w:t>。</w:t>
      </w:r>
      <w:r>
        <w:rPr>
          <w:rFonts w:ascii="宋体" w:eastAsia="宋体" w:hAnsi="宋体" w:cs="宋体"/>
        </w:rPr>
        <w:t>本项满足得2</w:t>
      </w:r>
      <w:r>
        <w:rPr>
          <w:rFonts w:ascii="宋体" w:eastAsia="宋体" w:hAnsi="宋体" w:cs="宋体" w:hint="eastAsia"/>
        </w:rPr>
        <w:t>。</w:t>
      </w:r>
      <w:r>
        <w:rPr>
          <w:rFonts w:ascii="宋体" w:eastAsia="宋体" w:hAnsi="宋体" w:cs="宋体"/>
        </w:rPr>
        <w:t>本项最高得2分。</w:t>
      </w:r>
    </w:p>
    <w:p w:rsidR="00004F40" w:rsidRDefault="00537043">
      <w:pPr>
        <w:spacing w:before="120"/>
        <w:rPr>
          <w:rFonts w:ascii="宋体" w:eastAsia="宋体" w:hAnsi="宋体" w:cs="宋体"/>
        </w:rPr>
      </w:pPr>
      <w:r>
        <w:rPr>
          <w:rFonts w:ascii="宋体" w:eastAsia="宋体" w:hAnsi="宋体" w:cs="宋体"/>
        </w:rPr>
        <w:t>5.2.2【用地】为了净化城市界面，高层住宅及临城市干道的住宅阳台，应尽量设置晾衣、空调外机、管线等的隐蔽空间。采用凹阳台、格栅等措施，实现晾衣遮蔽得1分；实现空调外机及管线隐蔽得1分</w:t>
      </w:r>
      <w:r>
        <w:rPr>
          <w:rFonts w:ascii="宋体" w:eastAsia="宋体" w:hAnsi="宋体" w:cs="宋体" w:hint="eastAsia"/>
        </w:rPr>
        <w:t>。</w:t>
      </w:r>
      <w:r>
        <w:rPr>
          <w:rFonts w:ascii="宋体" w:eastAsia="宋体" w:hAnsi="宋体" w:cs="宋体"/>
        </w:rPr>
        <w:t>本项最高得2分。</w:t>
      </w:r>
    </w:p>
    <w:p w:rsidR="00004F40" w:rsidRDefault="00537043">
      <w:pPr>
        <w:spacing w:before="120"/>
        <w:rPr>
          <w:rFonts w:ascii="宋体" w:eastAsia="宋体" w:hAnsi="宋体" w:cs="宋体"/>
        </w:rPr>
      </w:pPr>
      <w:r>
        <w:rPr>
          <w:rFonts w:ascii="宋体" w:eastAsia="宋体" w:hAnsi="宋体" w:cs="宋体"/>
        </w:rPr>
        <w:t>5.2.3【道路交通】应合理规划住区停车指标。本项最高分得4分。</w:t>
      </w:r>
    </w:p>
    <w:p w:rsidR="00004F40" w:rsidRDefault="00537043">
      <w:pPr>
        <w:spacing w:before="120"/>
        <w:rPr>
          <w:rFonts w:ascii="宋体" w:eastAsia="宋体" w:hAnsi="宋体" w:cs="宋体"/>
        </w:rPr>
      </w:pPr>
      <w:r>
        <w:rPr>
          <w:rFonts w:ascii="宋体" w:eastAsia="宋体" w:hAnsi="宋体" w:cs="宋体"/>
        </w:rPr>
        <w:t>1）住区人行主出入口处设有出租车上落客点和临时停车位。本项满足得1分</w:t>
      </w:r>
      <w:r>
        <w:rPr>
          <w:rFonts w:ascii="宋体" w:eastAsia="宋体" w:hAnsi="宋体" w:cs="宋体" w:hint="eastAsia"/>
        </w:rPr>
        <w:t>。</w:t>
      </w:r>
      <w:r>
        <w:rPr>
          <w:rFonts w:ascii="宋体" w:eastAsia="宋体" w:hAnsi="宋体" w:cs="宋体"/>
        </w:rPr>
        <w:t>本项最高得1分。</w:t>
      </w:r>
    </w:p>
    <w:p w:rsidR="00004F40" w:rsidRDefault="00537043">
      <w:pPr>
        <w:spacing w:before="120"/>
        <w:rPr>
          <w:rFonts w:ascii="宋体" w:eastAsia="宋体" w:hAnsi="宋体" w:cs="宋体"/>
        </w:rPr>
      </w:pPr>
      <w:r>
        <w:rPr>
          <w:rFonts w:ascii="宋体" w:eastAsia="宋体" w:hAnsi="宋体" w:cs="宋体"/>
        </w:rPr>
        <w:lastRenderedPageBreak/>
        <w:t>2）配套停车位配比，在规划设计条件规定的基础上，停车位配建指标每提高5%得2分，结合周边城市资源实现共享停车得1分。本项最高得3分。</w:t>
      </w:r>
    </w:p>
    <w:p w:rsidR="00004F40" w:rsidRDefault="00537043">
      <w:pPr>
        <w:spacing w:before="120"/>
        <w:rPr>
          <w:rFonts w:ascii="宋体" w:eastAsia="宋体" w:hAnsi="宋体" w:cs="宋体"/>
        </w:rPr>
      </w:pPr>
      <w:r>
        <w:rPr>
          <w:rFonts w:ascii="宋体" w:eastAsia="宋体" w:hAnsi="宋体" w:cs="宋体"/>
        </w:rPr>
        <w:t>5.2.4【配套设施】按照《城市居住区规划设计标准》GB50180中5分钟、10分钟、15分钟生活圈以及街坊标准配建，且结合城市资源，增加配置生活配套、公共服务、文化体育等设施。本项满足得2分</w:t>
      </w:r>
      <w:r>
        <w:rPr>
          <w:rFonts w:ascii="宋体" w:eastAsia="宋体" w:hAnsi="宋体" w:cs="宋体" w:hint="eastAsia"/>
        </w:rPr>
        <w:t>。</w:t>
      </w:r>
      <w:r>
        <w:rPr>
          <w:rFonts w:ascii="宋体" w:eastAsia="宋体" w:hAnsi="宋体" w:cs="宋体"/>
        </w:rPr>
        <w:t>本项最高得2分。</w:t>
      </w:r>
    </w:p>
    <w:p w:rsidR="00004F40" w:rsidRDefault="00537043">
      <w:pPr>
        <w:spacing w:before="120"/>
        <w:rPr>
          <w:rFonts w:ascii="宋体" w:eastAsia="宋体" w:hAnsi="宋体" w:cs="宋体"/>
        </w:rPr>
      </w:pPr>
      <w:r>
        <w:rPr>
          <w:rFonts w:ascii="宋体" w:eastAsia="宋体" w:hAnsi="宋体" w:cs="宋体"/>
        </w:rPr>
        <w:t>5.2.5【居住环境】住宅及配套幼儿园、托老所等配套用房日照均符合现行《城市居住区规划设计标准》GB50180的相关要求。本项满足得2分</w:t>
      </w:r>
      <w:r>
        <w:rPr>
          <w:rFonts w:ascii="宋体" w:eastAsia="宋体" w:hAnsi="宋体" w:cs="宋体" w:hint="eastAsia"/>
        </w:rPr>
        <w:t>。</w:t>
      </w:r>
      <w:r>
        <w:rPr>
          <w:rFonts w:ascii="宋体" w:eastAsia="宋体" w:hAnsi="宋体" w:cs="宋体"/>
        </w:rPr>
        <w:t>本项最高得2分。</w:t>
      </w:r>
    </w:p>
    <w:p w:rsidR="00004F40" w:rsidRDefault="00537043">
      <w:pPr>
        <w:spacing w:before="120"/>
        <w:rPr>
          <w:rFonts w:ascii="宋体" w:eastAsia="宋体" w:hAnsi="宋体" w:cs="宋体"/>
        </w:rPr>
      </w:pPr>
      <w:r>
        <w:rPr>
          <w:rFonts w:ascii="宋体" w:eastAsia="宋体" w:hAnsi="宋体" w:cs="宋体"/>
        </w:rPr>
        <w:t>5.2.6【居住环境】</w:t>
      </w:r>
      <w:r>
        <w:rPr>
          <w:rFonts w:ascii="宋体" w:eastAsia="宋体" w:hAnsi="宋体" w:cs="宋体" w:hint="eastAsia"/>
        </w:rPr>
        <w:t>居住功能用房的门窗应错位布置，避免对视。当无法错位开窗时，卧室间开窗最小间距应不小于4.8m，厨厕间开窗最小间距应不小于3m。本项满足得1分。本项最高得1分。</w:t>
      </w:r>
    </w:p>
    <w:p w:rsidR="00004F40" w:rsidRDefault="00537043">
      <w:pPr>
        <w:spacing w:before="120"/>
        <w:rPr>
          <w:rFonts w:ascii="宋体" w:eastAsia="宋体" w:hAnsi="宋体" w:cs="宋体"/>
        </w:rPr>
      </w:pPr>
      <w:r>
        <w:rPr>
          <w:rFonts w:ascii="宋体" w:eastAsia="宋体" w:hAnsi="宋体" w:cs="宋体"/>
        </w:rPr>
        <w:t>5.2.7【绿地景观】绿地率在在满足规划基本要求之外，每增加5%得1分</w:t>
      </w:r>
      <w:r>
        <w:rPr>
          <w:rFonts w:ascii="宋体" w:eastAsia="宋体" w:hAnsi="宋体" w:cs="宋体" w:hint="eastAsia"/>
        </w:rPr>
        <w:t>。</w:t>
      </w:r>
      <w:r>
        <w:rPr>
          <w:rFonts w:ascii="宋体" w:eastAsia="宋体" w:hAnsi="宋体" w:cs="宋体"/>
        </w:rPr>
        <w:t>本项最高得2分。</w:t>
      </w:r>
    </w:p>
    <w:p w:rsidR="00004F40" w:rsidRDefault="00537043">
      <w:pPr>
        <w:pStyle w:val="2"/>
        <w:jc w:val="center"/>
      </w:pPr>
      <w:bookmarkStart w:id="8" w:name="_Toc802107951"/>
      <w:r>
        <w:rPr>
          <w:rFonts w:ascii="宋体" w:eastAsia="宋体" w:hAnsi="宋体" w:cs="宋体"/>
          <w:sz w:val="24"/>
        </w:rPr>
        <w:t>5.3 加分项</w:t>
      </w:r>
      <w:bookmarkEnd w:id="8"/>
    </w:p>
    <w:p w:rsidR="00004F40" w:rsidRDefault="00537043">
      <w:pPr>
        <w:spacing w:before="120"/>
        <w:rPr>
          <w:rFonts w:ascii="宋体" w:eastAsia="宋体" w:hAnsi="宋体" w:cs="宋体"/>
        </w:rPr>
      </w:pPr>
      <w:r>
        <w:rPr>
          <w:rFonts w:ascii="宋体" w:eastAsia="宋体" w:hAnsi="宋体" w:cs="宋体"/>
        </w:rPr>
        <w:t>5.3.1【配套设施】住区设置宠物专用场地得0.5分；设置人员活动便捷配套设施，如饮水处、临时寄存处等得0.5分。本项最高得1分。</w:t>
      </w:r>
    </w:p>
    <w:p w:rsidR="00004F40" w:rsidRDefault="00537043">
      <w:pPr>
        <w:spacing w:before="120"/>
        <w:rPr>
          <w:rFonts w:ascii="宋体" w:eastAsia="宋体" w:hAnsi="宋体" w:cs="宋体"/>
        </w:rPr>
      </w:pPr>
      <w:r>
        <w:rPr>
          <w:rFonts w:ascii="宋体" w:eastAsia="宋体" w:hAnsi="宋体" w:cs="宋体"/>
        </w:rPr>
        <w:t>5.3.2【绿地景观】结合风雨连廊、架空层，合理设置连通区内各住宅入口的气候适宜性慢行系统。本项满足得2分</w:t>
      </w:r>
      <w:r>
        <w:rPr>
          <w:rFonts w:ascii="宋体" w:eastAsia="宋体" w:hAnsi="宋体" w:cs="宋体" w:hint="eastAsia"/>
        </w:rPr>
        <w:t>。</w:t>
      </w:r>
      <w:r>
        <w:rPr>
          <w:rFonts w:ascii="宋体" w:eastAsia="宋体" w:hAnsi="宋体" w:cs="宋体"/>
        </w:rPr>
        <w:t>本项最高得2分。</w:t>
      </w:r>
    </w:p>
    <w:p w:rsidR="00004F40" w:rsidRDefault="00537043">
      <w:pPr>
        <w:spacing w:before="120"/>
        <w:rPr>
          <w:rFonts w:ascii="宋体" w:eastAsia="宋体" w:hAnsi="宋体" w:cs="宋体"/>
        </w:rPr>
      </w:pPr>
      <w:r>
        <w:rPr>
          <w:rFonts w:ascii="宋体" w:eastAsia="宋体" w:hAnsi="宋体" w:cs="宋体"/>
        </w:rPr>
        <w:t>5.3.3【绿地景观】裙房及住宅屋顶等公众上人屋面（扣除设备铺设范围）绿化覆盖率不小于50%。本项满足得2分</w:t>
      </w:r>
      <w:r>
        <w:rPr>
          <w:rFonts w:ascii="宋体" w:eastAsia="宋体" w:hAnsi="宋体" w:cs="宋体" w:hint="eastAsia"/>
        </w:rPr>
        <w:t>。</w:t>
      </w:r>
      <w:r>
        <w:rPr>
          <w:rFonts w:ascii="宋体" w:eastAsia="宋体" w:hAnsi="宋体" w:cs="宋体"/>
        </w:rPr>
        <w:t>本项最高得2分。</w:t>
      </w:r>
    </w:p>
    <w:p w:rsidR="00004F40" w:rsidRDefault="00004F40">
      <w:pPr>
        <w:spacing w:before="120"/>
      </w:pPr>
    </w:p>
    <w:p w:rsidR="00004F40" w:rsidRDefault="00004F40">
      <w:pPr>
        <w:snapToGrid/>
        <w:spacing w:before="120"/>
      </w:pPr>
    </w:p>
    <w:p w:rsidR="00004F40" w:rsidRDefault="00004F40">
      <w:pPr>
        <w:spacing w:before="120"/>
      </w:pPr>
    </w:p>
    <w:p w:rsidR="00004F40" w:rsidRDefault="00537043">
      <w:pPr>
        <w:spacing w:before="120"/>
        <w:rPr>
          <w:rFonts w:ascii="黑体" w:eastAsia="黑体" w:hAnsi="黑体" w:cs="黑体"/>
          <w:sz w:val="28"/>
        </w:rPr>
      </w:pPr>
      <w:r>
        <w:rPr>
          <w:rFonts w:ascii="黑体" w:eastAsia="黑体" w:hAnsi="黑体" w:cs="黑体"/>
          <w:sz w:val="28"/>
        </w:rPr>
        <w:br w:type="page"/>
      </w:r>
    </w:p>
    <w:p w:rsidR="00004F40" w:rsidRDefault="00537043">
      <w:pPr>
        <w:pStyle w:val="10"/>
        <w:spacing w:before="340" w:after="330" w:line="576" w:lineRule="auto"/>
        <w:ind w:left="540" w:hanging="540"/>
        <w:jc w:val="center"/>
      </w:pPr>
      <w:bookmarkStart w:id="9" w:name="_Toc280464254"/>
      <w:r>
        <w:rPr>
          <w:rFonts w:ascii="黑体" w:eastAsia="黑体" w:hAnsi="黑体" w:cs="黑体"/>
          <w:sz w:val="28"/>
        </w:rPr>
        <w:lastRenderedPageBreak/>
        <w:t>6     安全与耐久</w:t>
      </w:r>
      <w:bookmarkEnd w:id="9"/>
    </w:p>
    <w:p w:rsidR="00004F40" w:rsidRDefault="00537043">
      <w:pPr>
        <w:pStyle w:val="2"/>
        <w:jc w:val="center"/>
      </w:pPr>
      <w:bookmarkStart w:id="10" w:name="_Toc2131438925"/>
      <w:r>
        <w:rPr>
          <w:rFonts w:ascii="宋体" w:eastAsia="宋体" w:hAnsi="宋体" w:cs="宋体"/>
          <w:sz w:val="24"/>
        </w:rPr>
        <w:t>6.1控制项</w:t>
      </w:r>
      <w:bookmarkEnd w:id="10"/>
    </w:p>
    <w:p w:rsidR="00004F40" w:rsidRDefault="00537043">
      <w:pPr>
        <w:spacing w:before="120"/>
        <w:rPr>
          <w:rFonts w:ascii="宋体" w:eastAsia="宋体" w:hAnsi="宋体" w:cs="宋体"/>
        </w:rPr>
      </w:pPr>
      <w:r>
        <w:rPr>
          <w:rFonts w:ascii="宋体" w:eastAsia="宋体" w:hAnsi="宋体" w:cs="宋体"/>
        </w:rPr>
        <w:t>6.1.1【材料构造】园林步道广场、公共空间地面和建筑室内地面的面层应选用防滑材料，必要位置应设置警示标识和防跌倒设施。公共空间的落地玻璃应设置防撞标识。阳台玻璃栏板应设置防撞措施。</w:t>
      </w:r>
    </w:p>
    <w:p w:rsidR="00004F40" w:rsidRDefault="00537043">
      <w:pPr>
        <w:spacing w:before="120"/>
        <w:rPr>
          <w:rFonts w:ascii="宋体" w:eastAsia="宋体" w:hAnsi="宋体" w:cs="宋体"/>
        </w:rPr>
      </w:pPr>
      <w:r>
        <w:rPr>
          <w:rFonts w:ascii="宋体" w:eastAsia="宋体" w:hAnsi="宋体" w:cs="宋体"/>
        </w:rPr>
        <w:t>6.1.2【材料构造】外墙材料（涂料、面砖以及幕墙系统等）应选择耐候、有防尘、防静电、自洁、抗氧化和易清洁的材料；首层外墙材料应考虑耐擦碰、抗污染的需求；贴/挂类外墙饰面均应采用防脱落外墙构造；阳台、进深超1米的雨棚应设置有组织排水；线脚、女儿墙等外墙构造应设有找坡、滴水等防污染措施。</w:t>
      </w:r>
    </w:p>
    <w:p w:rsidR="00004F40" w:rsidRDefault="00537043">
      <w:pPr>
        <w:spacing w:before="120"/>
        <w:rPr>
          <w:rFonts w:ascii="宋体" w:eastAsia="宋体" w:hAnsi="宋体" w:cs="宋体"/>
        </w:rPr>
      </w:pPr>
      <w:r>
        <w:rPr>
          <w:rFonts w:ascii="宋体" w:eastAsia="宋体" w:hAnsi="宋体" w:cs="宋体"/>
        </w:rPr>
        <w:t>6.1.3【日常安全】住区、住宅建筑的公共空间应设置全覆盖的监控系统，并在必要场所的出入口设置安全防范设施。住宅单元公共空间、户内应结合对讲系统设置紧急呼叫功能，并可接入小区物业管理系统。</w:t>
      </w:r>
    </w:p>
    <w:p w:rsidR="00004F40" w:rsidRDefault="00537043">
      <w:pPr>
        <w:spacing w:before="120"/>
        <w:rPr>
          <w:rFonts w:ascii="宋体" w:eastAsia="宋体" w:hAnsi="宋体" w:cs="宋体"/>
        </w:rPr>
      </w:pPr>
      <w:r>
        <w:rPr>
          <w:rFonts w:ascii="宋体" w:eastAsia="宋体" w:hAnsi="宋体" w:cs="宋体"/>
        </w:rPr>
        <w:t>6.1.4【日常安全】</w:t>
      </w:r>
      <w:r>
        <w:rPr>
          <w:rFonts w:ascii="宋体" w:eastAsia="宋体" w:hAnsi="宋体" w:cs="宋体" w:hint="eastAsia"/>
        </w:rPr>
        <w:t>建筑出入口应采取防止物体坠落措施，人行步道不得紧邻建筑外墙设置。位于阳台、外廊及开敞楼梯平台下部的住宅单元出入口应设置雨棚宽度、深度不应小于入口平台和无障碍坡道空间宽度的防坠落雨棚，且深度不小于1.5米、宽度不小于2米</w:t>
      </w:r>
      <w:r>
        <w:rPr>
          <w:rFonts w:ascii="宋体" w:eastAsia="宋体" w:hAnsi="宋体" w:cs="宋体"/>
        </w:rPr>
        <w:t>。</w:t>
      </w:r>
    </w:p>
    <w:p w:rsidR="00004F40" w:rsidRDefault="00537043">
      <w:pPr>
        <w:spacing w:before="120"/>
        <w:rPr>
          <w:rFonts w:ascii="宋体" w:eastAsia="宋体" w:hAnsi="宋体" w:cs="宋体"/>
        </w:rPr>
      </w:pPr>
      <w:r>
        <w:rPr>
          <w:rFonts w:ascii="宋体" w:eastAsia="宋体" w:hAnsi="宋体" w:cs="宋体"/>
        </w:rPr>
        <w:t>6.1.5【日常安全】室外空调及百叶、外窗开启扇都应采用防坠落铰链等构件，飘窗台以上开启扇应做坠落护栏。设为安全房屋的外窗应满足消防救援需求。</w:t>
      </w:r>
    </w:p>
    <w:p w:rsidR="00004F40" w:rsidRDefault="00537043">
      <w:pPr>
        <w:spacing w:before="120"/>
        <w:rPr>
          <w:rFonts w:ascii="宋体" w:eastAsia="宋体" w:hAnsi="宋体" w:cs="宋体"/>
        </w:rPr>
      </w:pPr>
      <w:r>
        <w:rPr>
          <w:rFonts w:ascii="宋体" w:eastAsia="宋体" w:hAnsi="宋体" w:cs="宋体"/>
        </w:rPr>
        <w:t>6.1.6【安全用电用气】厨房应设置燃气漏气报警设施。配设的燃气灶应具有熄火保护自动关闭阀门的功能。</w:t>
      </w:r>
    </w:p>
    <w:p w:rsidR="00004F40" w:rsidRDefault="00537043">
      <w:pPr>
        <w:spacing w:before="120"/>
        <w:rPr>
          <w:rFonts w:ascii="宋体" w:eastAsia="宋体" w:hAnsi="宋体" w:cs="宋体"/>
        </w:rPr>
      </w:pPr>
      <w:r>
        <w:rPr>
          <w:rFonts w:ascii="宋体" w:eastAsia="宋体" w:hAnsi="宋体" w:cs="宋体"/>
        </w:rPr>
        <w:t>6.1.7【防水防渗】外墙应采用耐候性、抗裂性好的防水材料。在外墙各楼层底部、管线穿越位置、外墙材料交接处、阳台及室外空调机位与外墙交接处、装配式建筑外墙、屋面附加（太阳能、通讯等）设施交接处、室内卫生间四周墙体、门槛等位置，采用防水加强构造。</w:t>
      </w:r>
    </w:p>
    <w:p w:rsidR="00004F40" w:rsidRDefault="00537043">
      <w:pPr>
        <w:spacing w:before="120"/>
        <w:rPr>
          <w:rFonts w:ascii="宋体" w:eastAsia="宋体" w:hAnsi="宋体" w:cs="宋体"/>
        </w:rPr>
      </w:pPr>
      <w:r>
        <w:rPr>
          <w:rFonts w:ascii="宋体" w:eastAsia="宋体" w:hAnsi="宋体" w:cs="宋体"/>
        </w:rPr>
        <w:t>6.1.8【防水防渗】地下室开敞室外楼梯应采用外墙防水构造和饰面材料，并应设置完整的防水界面和排水设施。</w:t>
      </w:r>
    </w:p>
    <w:p w:rsidR="00004F40" w:rsidRDefault="00537043">
      <w:pPr>
        <w:pStyle w:val="1"/>
        <w:spacing w:before="120"/>
      </w:pPr>
      <w:r>
        <w:rPr>
          <w:rFonts w:ascii="宋体" w:hAnsi="宋体" w:cs="宋体"/>
        </w:rPr>
        <w:t>6.1.</w:t>
      </w:r>
      <w:r>
        <w:rPr>
          <w:rFonts w:ascii="宋体" w:hAnsi="宋体" w:cs="宋体" w:hint="eastAsia"/>
        </w:rPr>
        <w:t>9</w:t>
      </w:r>
      <w:r>
        <w:rPr>
          <w:rFonts w:ascii="宋体" w:hAnsi="宋体" w:cs="宋体"/>
        </w:rPr>
        <w:t>【</w:t>
      </w:r>
      <w:r>
        <w:rPr>
          <w:rFonts w:ascii="宋体" w:hAnsi="宋体" w:cs="宋体" w:hint="eastAsia"/>
        </w:rPr>
        <w:t>质量保险</w:t>
      </w:r>
      <w:r>
        <w:rPr>
          <w:rFonts w:ascii="宋体" w:hAnsi="宋体" w:cs="宋体"/>
        </w:rPr>
        <w:t>】</w:t>
      </w:r>
      <w:r>
        <w:rPr>
          <w:rFonts w:ascii="宋体" w:hAnsi="宋体" w:cs="宋体" w:hint="eastAsia"/>
        </w:rPr>
        <w:t>购买工程质量潜在缺陷保险，由保险机构委托风险管理机构，在施工阶段对工程质量风险进行巡查，督促参建单位整改质量问题；由保险机构在房屋使用阶段对房屋的开裂、渗漏等工程质量问题进行维修理赔。</w:t>
      </w:r>
    </w:p>
    <w:p w:rsidR="00004F40" w:rsidRDefault="00537043">
      <w:pPr>
        <w:pStyle w:val="2"/>
        <w:jc w:val="center"/>
      </w:pPr>
      <w:bookmarkStart w:id="11" w:name="_Toc1000502795"/>
      <w:r>
        <w:rPr>
          <w:rFonts w:ascii="宋体" w:eastAsia="宋体" w:hAnsi="宋体" w:cs="宋体"/>
          <w:sz w:val="24"/>
        </w:rPr>
        <w:lastRenderedPageBreak/>
        <w:t>6.2 得分项</w:t>
      </w:r>
      <w:bookmarkEnd w:id="11"/>
    </w:p>
    <w:p w:rsidR="00004F40" w:rsidRDefault="00537043">
      <w:pPr>
        <w:spacing w:before="120"/>
        <w:rPr>
          <w:rFonts w:ascii="宋体" w:eastAsia="宋体" w:hAnsi="宋体" w:cs="宋体"/>
        </w:rPr>
      </w:pPr>
      <w:r>
        <w:rPr>
          <w:rFonts w:ascii="宋体" w:eastAsia="宋体" w:hAnsi="宋体" w:cs="宋体"/>
        </w:rPr>
        <w:t>6.2.1【材料构造】采用安全性能、耐候性能、防水性能较高的材料与构造。本项最高得</w:t>
      </w:r>
      <w:r>
        <w:rPr>
          <w:rFonts w:ascii="宋体" w:eastAsia="宋体" w:hAnsi="宋体" w:cs="宋体" w:hint="eastAsia"/>
        </w:rPr>
        <w:t>8</w:t>
      </w:r>
      <w:r>
        <w:rPr>
          <w:rFonts w:ascii="宋体" w:eastAsia="宋体" w:hAnsi="宋体" w:cs="宋体"/>
        </w:rPr>
        <w:t>分。</w:t>
      </w:r>
    </w:p>
    <w:p w:rsidR="00004F40" w:rsidRDefault="00537043">
      <w:pPr>
        <w:spacing w:before="120"/>
        <w:rPr>
          <w:rFonts w:ascii="宋体" w:eastAsia="宋体" w:hAnsi="宋体" w:cs="宋体"/>
        </w:rPr>
      </w:pPr>
      <w:r>
        <w:rPr>
          <w:rFonts w:ascii="宋体" w:eastAsia="宋体" w:hAnsi="宋体" w:cs="宋体"/>
        </w:rPr>
        <w:t>1）石材幕墙材料采用防碱防水处理及安装要求。采用干挂法安装时，采用六面封闭处理。本项满足得1分。采用湿贴法安装时，石材除采用六面封闭处理外，同时采用耐碱玻璃纤维网格布和专用粘贴剂粘贴。本项满足得1分。本项最高得1分。</w:t>
      </w:r>
    </w:p>
    <w:p w:rsidR="00004F40" w:rsidRDefault="00537043">
      <w:pPr>
        <w:spacing w:before="120"/>
        <w:rPr>
          <w:rFonts w:ascii="宋体" w:eastAsia="宋体" w:hAnsi="宋体" w:cs="宋体"/>
        </w:rPr>
      </w:pPr>
      <w:r>
        <w:rPr>
          <w:rFonts w:ascii="宋体" w:eastAsia="宋体" w:hAnsi="宋体" w:cs="宋体"/>
        </w:rPr>
        <w:t>2）外墙基层采用合理材料和构造，实现外墙防水性能良好，无裂缝，面层无脱落：采用砂浆时，为抗裂砂浆，且设置耐碱玻璃纤维网格布或金属网片的构造。本项满足得2分。采用全剪力墙结构铝模施工时，未采用砂浆找平，采用专用防水封条等合理构造。本项满足得2分。外墙面层采用大尺寸外墙砖时，采用专用瓷砖胶粘结，且采用专用勾缝剂。本项满足得2分。本项最高得4分。</w:t>
      </w:r>
    </w:p>
    <w:p w:rsidR="00004F40" w:rsidRDefault="00537043">
      <w:pPr>
        <w:spacing w:before="120"/>
        <w:rPr>
          <w:rFonts w:ascii="宋体" w:eastAsia="宋体" w:hAnsi="宋体" w:cs="宋体"/>
        </w:rPr>
      </w:pPr>
      <w:r>
        <w:rPr>
          <w:rFonts w:ascii="宋体" w:eastAsia="宋体" w:hAnsi="宋体" w:cs="宋体"/>
        </w:rPr>
        <w:t>3）屋面、地面及外墙变形缝进行系统设计，采用合理构造和铝合金、不锈钢等耐候构件，采用防排结合的构造，性能良好。本项满足得2分</w:t>
      </w:r>
      <w:r>
        <w:rPr>
          <w:rFonts w:ascii="宋体" w:eastAsia="宋体" w:hAnsi="宋体" w:cs="宋体" w:hint="eastAsia"/>
        </w:rPr>
        <w:t>。</w:t>
      </w:r>
      <w:r>
        <w:rPr>
          <w:rFonts w:ascii="宋体" w:eastAsia="宋体" w:hAnsi="宋体" w:cs="宋体"/>
        </w:rPr>
        <w:t>本项最高得</w:t>
      </w:r>
      <w:r>
        <w:rPr>
          <w:rFonts w:ascii="宋体" w:eastAsia="宋体" w:hAnsi="宋体" w:cs="宋体" w:hint="eastAsia"/>
        </w:rPr>
        <w:t>2</w:t>
      </w:r>
      <w:r>
        <w:rPr>
          <w:rFonts w:ascii="宋体" w:eastAsia="宋体" w:hAnsi="宋体" w:cs="宋体"/>
        </w:rPr>
        <w:t>分。</w:t>
      </w:r>
    </w:p>
    <w:p w:rsidR="00004F40" w:rsidRDefault="00537043">
      <w:pPr>
        <w:spacing w:before="120"/>
        <w:rPr>
          <w:rFonts w:ascii="宋体" w:eastAsia="宋体" w:hAnsi="宋体" w:cs="宋体"/>
        </w:rPr>
      </w:pPr>
      <w:r>
        <w:rPr>
          <w:rFonts w:ascii="宋体" w:eastAsia="宋体" w:hAnsi="宋体" w:cs="宋体"/>
        </w:rPr>
        <w:t>4）屋面采用结构找坡或建筑找坡层与结构楼板共同浇捣的施工方案。本项满足得</w:t>
      </w:r>
      <w:r>
        <w:rPr>
          <w:rFonts w:ascii="宋体" w:eastAsia="宋体" w:hAnsi="宋体" w:cs="宋体" w:hint="eastAsia"/>
        </w:rPr>
        <w:t>1</w:t>
      </w:r>
      <w:r>
        <w:rPr>
          <w:rFonts w:ascii="宋体" w:eastAsia="宋体" w:hAnsi="宋体" w:cs="宋体"/>
        </w:rPr>
        <w:t>分</w:t>
      </w:r>
      <w:r>
        <w:rPr>
          <w:rFonts w:ascii="宋体" w:eastAsia="宋体" w:hAnsi="宋体" w:cs="宋体" w:hint="eastAsia"/>
        </w:rPr>
        <w:t>。</w:t>
      </w:r>
      <w:r>
        <w:rPr>
          <w:rFonts w:ascii="宋体" w:eastAsia="宋体" w:hAnsi="宋体" w:cs="宋体"/>
        </w:rPr>
        <w:t>本项最高得</w:t>
      </w:r>
      <w:r>
        <w:rPr>
          <w:rFonts w:ascii="宋体" w:eastAsia="宋体" w:hAnsi="宋体" w:cs="宋体" w:hint="eastAsia"/>
        </w:rPr>
        <w:t>1</w:t>
      </w:r>
      <w:r>
        <w:rPr>
          <w:rFonts w:ascii="宋体" w:eastAsia="宋体" w:hAnsi="宋体" w:cs="宋体"/>
        </w:rPr>
        <w:t>分。</w:t>
      </w:r>
    </w:p>
    <w:p w:rsidR="00004F40" w:rsidRDefault="00537043">
      <w:pPr>
        <w:spacing w:before="120"/>
        <w:rPr>
          <w:rFonts w:ascii="宋体" w:eastAsia="宋体" w:hAnsi="宋体" w:cs="宋体"/>
        </w:rPr>
      </w:pPr>
      <w:r>
        <w:rPr>
          <w:rFonts w:ascii="宋体" w:eastAsia="宋体" w:hAnsi="宋体" w:cs="宋体"/>
        </w:rPr>
        <w:t>6.2.2【防水防渗】埋深超过6m的地下室，其底板结构厚度不小于400mm（不超过6m埋深的地下室，其底板结构厚度不小于350mm)。本项满足得1分。侧板结构厚度不低于300 mm。本项满足得1分。本项最高得2分。</w:t>
      </w:r>
    </w:p>
    <w:p w:rsidR="00004F40" w:rsidRDefault="00537043">
      <w:pPr>
        <w:spacing w:before="120"/>
        <w:rPr>
          <w:rFonts w:ascii="宋体" w:eastAsia="宋体" w:hAnsi="宋体" w:cs="宋体"/>
        </w:rPr>
      </w:pPr>
      <w:r>
        <w:rPr>
          <w:rFonts w:ascii="宋体" w:eastAsia="宋体" w:hAnsi="宋体" w:cs="宋体"/>
        </w:rPr>
        <w:t>6.2.3【安全维护】住宅入口及屋顶露台应优先采用耐候性好、安全牢固的防坠落雨棚。如采用夹胶钢化玻璃雨棚时，应考虑上人检修以及抗爆裂措施。本项满足得</w:t>
      </w:r>
      <w:r>
        <w:rPr>
          <w:rFonts w:ascii="宋体" w:eastAsia="宋体" w:hAnsi="宋体" w:cs="宋体" w:hint="eastAsia"/>
        </w:rPr>
        <w:t>1</w:t>
      </w:r>
      <w:r>
        <w:rPr>
          <w:rFonts w:ascii="宋体" w:eastAsia="宋体" w:hAnsi="宋体" w:cs="宋体"/>
        </w:rPr>
        <w:t>分</w:t>
      </w:r>
      <w:r>
        <w:rPr>
          <w:rFonts w:ascii="宋体" w:eastAsia="宋体" w:hAnsi="宋体" w:cs="宋体" w:hint="eastAsia"/>
        </w:rPr>
        <w:t>。</w:t>
      </w:r>
      <w:r>
        <w:rPr>
          <w:rFonts w:ascii="宋体" w:eastAsia="宋体" w:hAnsi="宋体" w:cs="宋体"/>
        </w:rPr>
        <w:t>本项最高得</w:t>
      </w:r>
      <w:r>
        <w:rPr>
          <w:rFonts w:ascii="宋体" w:eastAsia="宋体" w:hAnsi="宋体" w:cs="宋体" w:hint="eastAsia"/>
        </w:rPr>
        <w:t>1</w:t>
      </w:r>
      <w:r>
        <w:rPr>
          <w:rFonts w:ascii="宋体" w:eastAsia="宋体" w:hAnsi="宋体" w:cs="宋体"/>
        </w:rPr>
        <w:t>分。</w:t>
      </w:r>
    </w:p>
    <w:p w:rsidR="00004F40" w:rsidRDefault="00537043">
      <w:pPr>
        <w:spacing w:before="120"/>
        <w:rPr>
          <w:rFonts w:ascii="宋体" w:eastAsia="宋体" w:hAnsi="宋体" w:cs="宋体"/>
          <w:highlight w:val="magenta"/>
        </w:rPr>
      </w:pPr>
      <w:r>
        <w:rPr>
          <w:rFonts w:ascii="宋体" w:eastAsia="宋体" w:hAnsi="宋体" w:cs="宋体"/>
        </w:rPr>
        <w:t>6.2.</w:t>
      </w:r>
      <w:r>
        <w:rPr>
          <w:rFonts w:ascii="宋体" w:eastAsia="宋体" w:hAnsi="宋体" w:cs="宋体" w:hint="eastAsia"/>
        </w:rPr>
        <w:t>4</w:t>
      </w:r>
      <w:r>
        <w:rPr>
          <w:rFonts w:ascii="宋体" w:eastAsia="宋体" w:hAnsi="宋体" w:cs="宋体"/>
        </w:rPr>
        <w:t>【</w:t>
      </w:r>
      <w:r>
        <w:rPr>
          <w:rFonts w:ascii="宋体" w:eastAsia="宋体" w:hAnsi="宋体" w:cs="宋体" w:hint="eastAsia"/>
        </w:rPr>
        <w:t>安全适老</w:t>
      </w:r>
      <w:r>
        <w:rPr>
          <w:rFonts w:ascii="宋体" w:eastAsia="宋体" w:hAnsi="宋体" w:cs="宋体"/>
        </w:rPr>
        <w:t>】户内</w:t>
      </w:r>
      <w:r>
        <w:rPr>
          <w:rFonts w:ascii="宋体" w:eastAsia="宋体" w:hAnsi="宋体" w:cs="宋体" w:hint="eastAsia"/>
        </w:rPr>
        <w:t>卧室、卫生间等房间均设有紧急呼叫按钮，</w:t>
      </w:r>
      <w:r>
        <w:rPr>
          <w:rFonts w:ascii="宋体" w:eastAsia="宋体" w:hAnsi="宋体" w:cs="宋体"/>
        </w:rPr>
        <w:t>可接入小区物业管理系统</w:t>
      </w:r>
      <w:r>
        <w:rPr>
          <w:rFonts w:ascii="宋体" w:eastAsia="宋体" w:hAnsi="宋体" w:cs="宋体" w:hint="eastAsia"/>
        </w:rPr>
        <w:t>，并可与</w:t>
      </w:r>
      <w:r>
        <w:rPr>
          <w:rFonts w:ascii="宋体" w:eastAsia="宋体" w:hAnsi="宋体" w:cs="宋体"/>
        </w:rPr>
        <w:t>对讲</w:t>
      </w:r>
      <w:r>
        <w:rPr>
          <w:rFonts w:ascii="宋体" w:eastAsia="宋体" w:hAnsi="宋体" w:cs="宋体" w:hint="eastAsia"/>
        </w:rPr>
        <w:t>、智能监控</w:t>
      </w:r>
      <w:r>
        <w:rPr>
          <w:rFonts w:ascii="宋体" w:eastAsia="宋体" w:hAnsi="宋体" w:cs="宋体"/>
        </w:rPr>
        <w:t>系统</w:t>
      </w:r>
      <w:r>
        <w:rPr>
          <w:rFonts w:ascii="宋体" w:eastAsia="宋体" w:hAnsi="宋体" w:cs="宋体" w:hint="eastAsia"/>
        </w:rPr>
        <w:t>相结合。</w:t>
      </w:r>
      <w:r>
        <w:rPr>
          <w:rFonts w:ascii="宋体" w:eastAsia="宋体" w:hAnsi="宋体" w:cs="宋体"/>
        </w:rPr>
        <w:t>本项满足得</w:t>
      </w:r>
      <w:r>
        <w:rPr>
          <w:rFonts w:ascii="宋体" w:eastAsia="宋体" w:hAnsi="宋体" w:cs="宋体" w:hint="eastAsia"/>
        </w:rPr>
        <w:t>2</w:t>
      </w:r>
      <w:r>
        <w:rPr>
          <w:rFonts w:ascii="宋体" w:eastAsia="宋体" w:hAnsi="宋体" w:cs="宋体"/>
        </w:rPr>
        <w:t>分。本项最高得2分。</w:t>
      </w:r>
    </w:p>
    <w:p w:rsidR="00004F40" w:rsidRDefault="00004F40">
      <w:pPr>
        <w:pStyle w:val="1"/>
        <w:spacing w:before="120"/>
      </w:pPr>
    </w:p>
    <w:p w:rsidR="00004F40" w:rsidRDefault="00537043">
      <w:pPr>
        <w:pStyle w:val="2"/>
        <w:jc w:val="center"/>
      </w:pPr>
      <w:bookmarkStart w:id="12" w:name="_Toc211618263"/>
      <w:r>
        <w:rPr>
          <w:rFonts w:ascii="宋体" w:eastAsia="宋体" w:hAnsi="宋体" w:cs="宋体"/>
          <w:sz w:val="24"/>
        </w:rPr>
        <w:t>6.3 加分项</w:t>
      </w:r>
      <w:bookmarkEnd w:id="12"/>
    </w:p>
    <w:p w:rsidR="00004F40" w:rsidRDefault="00537043">
      <w:pPr>
        <w:spacing w:before="120"/>
        <w:rPr>
          <w:rFonts w:ascii="宋体" w:eastAsia="宋体" w:hAnsi="宋体" w:cs="宋体"/>
        </w:rPr>
      </w:pPr>
      <w:r>
        <w:rPr>
          <w:rFonts w:ascii="宋体" w:eastAsia="宋体" w:hAnsi="宋体" w:cs="宋体"/>
        </w:rPr>
        <w:t>6.3.1【材料构造】大面积石材及薄瓷外墙砖采用粘锚结合构造，本项满足得1分</w:t>
      </w:r>
      <w:r>
        <w:rPr>
          <w:rFonts w:ascii="宋体" w:eastAsia="宋体" w:hAnsi="宋体" w:cs="宋体" w:hint="eastAsia"/>
        </w:rPr>
        <w:t>。</w:t>
      </w:r>
      <w:r>
        <w:rPr>
          <w:rFonts w:ascii="宋体" w:eastAsia="宋体" w:hAnsi="宋体" w:cs="宋体"/>
        </w:rPr>
        <w:t>本项最高得1分。</w:t>
      </w:r>
    </w:p>
    <w:p w:rsidR="00004F40" w:rsidRDefault="00537043">
      <w:pPr>
        <w:spacing w:before="120"/>
        <w:rPr>
          <w:rFonts w:ascii="宋体" w:eastAsia="宋体" w:hAnsi="宋体" w:cs="宋体"/>
        </w:rPr>
      </w:pPr>
      <w:r>
        <w:rPr>
          <w:rFonts w:ascii="宋体" w:eastAsia="宋体" w:hAnsi="宋体" w:cs="宋体"/>
        </w:rPr>
        <w:t>6.3.2【防水防渗】建筑底板具有较好的防渗漏性能。本项最高得2分。</w:t>
      </w:r>
    </w:p>
    <w:p w:rsidR="00004F40" w:rsidRDefault="00537043">
      <w:pPr>
        <w:spacing w:before="120"/>
        <w:rPr>
          <w:rFonts w:ascii="宋体" w:eastAsia="宋体" w:hAnsi="宋体" w:cs="宋体"/>
        </w:rPr>
      </w:pPr>
      <w:r>
        <w:rPr>
          <w:rFonts w:ascii="宋体" w:eastAsia="宋体" w:hAnsi="宋体" w:cs="宋体"/>
        </w:rPr>
        <w:t>1）地下室底板内侧增加一道水泥基防水层或增设疏水层</w:t>
      </w:r>
      <w:r>
        <w:rPr>
          <w:rFonts w:ascii="宋体" w:eastAsia="宋体" w:hAnsi="宋体" w:cs="宋体" w:hint="eastAsia"/>
        </w:rPr>
        <w:t>。</w:t>
      </w:r>
      <w:r>
        <w:rPr>
          <w:rFonts w:ascii="宋体" w:eastAsia="宋体" w:hAnsi="宋体" w:cs="宋体"/>
        </w:rPr>
        <w:t>本项满足得1分。本项最高得</w:t>
      </w:r>
      <w:r>
        <w:rPr>
          <w:rFonts w:ascii="宋体" w:eastAsia="宋体" w:hAnsi="宋体" w:cs="宋体"/>
        </w:rPr>
        <w:lastRenderedPageBreak/>
        <w:t>1分。</w:t>
      </w:r>
    </w:p>
    <w:p w:rsidR="00004F40" w:rsidRDefault="00537043">
      <w:pPr>
        <w:spacing w:before="120"/>
        <w:rPr>
          <w:rFonts w:ascii="宋体" w:eastAsia="宋体" w:hAnsi="宋体" w:cs="宋体"/>
        </w:rPr>
      </w:pPr>
      <w:r>
        <w:rPr>
          <w:rFonts w:ascii="宋体" w:eastAsia="宋体" w:hAnsi="宋体" w:cs="宋体"/>
        </w:rPr>
        <w:t>2）无地下室首层地面增设一道防水层</w:t>
      </w:r>
      <w:r>
        <w:rPr>
          <w:rFonts w:ascii="宋体" w:eastAsia="宋体" w:hAnsi="宋体" w:cs="宋体" w:hint="eastAsia"/>
        </w:rPr>
        <w:t>。</w:t>
      </w:r>
      <w:r>
        <w:rPr>
          <w:rFonts w:ascii="宋体" w:eastAsia="宋体" w:hAnsi="宋体" w:cs="宋体"/>
        </w:rPr>
        <w:t>本项满足得1分。本项最高得1分。</w:t>
      </w:r>
    </w:p>
    <w:p w:rsidR="00004F40" w:rsidRDefault="00004F40">
      <w:pPr>
        <w:spacing w:before="120"/>
        <w:rPr>
          <w:rFonts w:ascii="宋体" w:eastAsia="宋体" w:hAnsi="宋体" w:cs="宋体"/>
        </w:rPr>
      </w:pPr>
    </w:p>
    <w:p w:rsidR="00004F40" w:rsidRDefault="00537043">
      <w:pPr>
        <w:spacing w:before="120"/>
        <w:rPr>
          <w:rFonts w:ascii="黑体" w:eastAsia="黑体" w:hAnsi="黑体" w:cs="黑体"/>
          <w:sz w:val="28"/>
        </w:rPr>
      </w:pPr>
      <w:r>
        <w:rPr>
          <w:rFonts w:ascii="黑体" w:eastAsia="黑体" w:hAnsi="黑体" w:cs="黑体"/>
          <w:sz w:val="28"/>
        </w:rPr>
        <w:br w:type="page"/>
      </w:r>
    </w:p>
    <w:p w:rsidR="00004F40" w:rsidRDefault="00537043">
      <w:pPr>
        <w:pStyle w:val="10"/>
        <w:spacing w:before="340" w:after="330" w:line="576" w:lineRule="auto"/>
        <w:ind w:left="540" w:hanging="540"/>
        <w:jc w:val="center"/>
      </w:pPr>
      <w:bookmarkStart w:id="13" w:name="_Toc309677747"/>
      <w:r>
        <w:rPr>
          <w:rFonts w:ascii="黑体" w:eastAsia="黑体" w:hAnsi="黑体" w:cs="黑体"/>
          <w:sz w:val="28"/>
        </w:rPr>
        <w:lastRenderedPageBreak/>
        <w:t>7     舒适与健康</w:t>
      </w:r>
      <w:bookmarkEnd w:id="13"/>
    </w:p>
    <w:p w:rsidR="00004F40" w:rsidRDefault="00537043">
      <w:pPr>
        <w:pStyle w:val="2"/>
        <w:jc w:val="center"/>
        <w:rPr>
          <w:rFonts w:ascii="宋体" w:eastAsia="宋体" w:hAnsi="宋体" w:cs="宋体"/>
        </w:rPr>
      </w:pPr>
      <w:bookmarkStart w:id="14" w:name="_Toc1023419106"/>
      <w:r>
        <w:rPr>
          <w:rFonts w:ascii="宋体" w:eastAsia="宋体" w:hAnsi="宋体" w:cs="宋体"/>
          <w:sz w:val="24"/>
        </w:rPr>
        <w:t>7.1 控制项</w:t>
      </w:r>
      <w:bookmarkEnd w:id="14"/>
    </w:p>
    <w:p w:rsidR="00004F40" w:rsidRDefault="00537043">
      <w:pPr>
        <w:spacing w:before="120"/>
        <w:rPr>
          <w:rFonts w:ascii="宋体" w:eastAsia="宋体" w:hAnsi="宋体" w:cs="宋体"/>
        </w:rPr>
      </w:pPr>
      <w:r>
        <w:rPr>
          <w:rFonts w:ascii="宋体" w:eastAsia="宋体" w:hAnsi="宋体" w:cs="宋体" w:hint="eastAsia"/>
        </w:rPr>
        <w:t>7.1.1【舒适空间】住区内住宅建筑的各楼层层高应满足相应功能的使用舒适性要求。当住宅建筑首层设有架空区作为居民公共活动空间时，其结构梁底或设备管线的最低点空间净高不应小于3.8m。</w:t>
      </w:r>
    </w:p>
    <w:p w:rsidR="00004F40" w:rsidRDefault="00537043">
      <w:pPr>
        <w:pStyle w:val="1"/>
        <w:spacing w:before="120"/>
      </w:pPr>
      <w:r>
        <w:rPr>
          <w:rFonts w:ascii="宋体" w:hAnsi="宋体" w:cs="宋体" w:hint="eastAsia"/>
        </w:rPr>
        <w:t>7.1.2【舒适空间】</w:t>
      </w:r>
      <w:r>
        <w:rPr>
          <w:rFonts w:asciiTheme="minorEastAsia" w:eastAsiaTheme="minorEastAsia" w:hAnsiTheme="minorEastAsia" w:cstheme="minorEastAsia" w:hint="eastAsia"/>
          <w:szCs w:val="24"/>
        </w:rPr>
        <w:t>住宅建筑居住楼层的层高不应小于3.0</w:t>
      </w:r>
      <w:r>
        <w:rPr>
          <w:rFonts w:ascii="宋体" w:hAnsi="宋体" w:cs="宋体" w:hint="eastAsia"/>
        </w:rPr>
        <w:t>m。</w:t>
      </w:r>
    </w:p>
    <w:p w:rsidR="00004F40" w:rsidRDefault="00537043">
      <w:pPr>
        <w:spacing w:before="120"/>
        <w:rPr>
          <w:rFonts w:ascii="宋体" w:eastAsia="宋体" w:hAnsi="宋体" w:cs="宋体"/>
        </w:rPr>
      </w:pPr>
      <w:r>
        <w:rPr>
          <w:rFonts w:ascii="宋体" w:eastAsia="宋体" w:hAnsi="宋体" w:cs="宋体" w:hint="eastAsia"/>
        </w:rPr>
        <w:t>7.1.3【舒适环境】住区内住宅建筑的电梯应充分考虑隔音减噪与轿厢舒适性要求。住宅建筑内与住宅户型贴临的电梯应设置隔音减噪措施；住宅建筑内的公共电梯轿厢内应设置空调。</w:t>
      </w:r>
    </w:p>
    <w:p w:rsidR="00004F40" w:rsidRDefault="00537043">
      <w:pPr>
        <w:spacing w:before="120"/>
        <w:rPr>
          <w:rFonts w:ascii="宋体" w:eastAsia="宋体" w:hAnsi="宋体" w:cs="宋体"/>
        </w:rPr>
      </w:pPr>
      <w:r>
        <w:rPr>
          <w:rFonts w:ascii="宋体" w:eastAsia="宋体" w:hAnsi="宋体" w:cs="宋体" w:hint="eastAsia"/>
        </w:rPr>
        <w:t>7.1.4【舒适设施】住区内住宅建筑应充分提升饮用水水质，住宅户型内的厨房用水点应配置分户式净水设施。</w:t>
      </w:r>
    </w:p>
    <w:p w:rsidR="00004F40" w:rsidRDefault="00537043">
      <w:pPr>
        <w:pStyle w:val="2"/>
        <w:jc w:val="center"/>
        <w:rPr>
          <w:rFonts w:ascii="宋体" w:eastAsia="宋体" w:hAnsi="宋体" w:cs="宋体"/>
        </w:rPr>
      </w:pPr>
      <w:bookmarkStart w:id="15" w:name="_Toc1691339327"/>
      <w:r>
        <w:rPr>
          <w:rFonts w:ascii="宋体" w:eastAsia="宋体" w:hAnsi="宋体" w:cs="宋体"/>
          <w:sz w:val="24"/>
        </w:rPr>
        <w:t>7.2 得分项</w:t>
      </w:r>
      <w:bookmarkEnd w:id="15"/>
    </w:p>
    <w:p w:rsidR="00004F40" w:rsidRDefault="00537043">
      <w:pPr>
        <w:spacing w:before="120"/>
        <w:rPr>
          <w:rFonts w:ascii="宋体" w:eastAsia="宋体" w:hAnsi="宋体" w:cs="宋体"/>
        </w:rPr>
      </w:pPr>
      <w:r>
        <w:rPr>
          <w:rFonts w:ascii="宋体" w:eastAsia="宋体" w:hAnsi="宋体" w:cs="宋体" w:hint="eastAsia"/>
        </w:rPr>
        <w:t>7.2.1 【舒适空间】住区内的住宅建筑应为居住者提供适宜的高度空间。当住宅建筑的居住楼层层高大于3.00m时，每增加0.05m得2分。本项最高得6分。</w:t>
      </w:r>
    </w:p>
    <w:p w:rsidR="00004F40" w:rsidRDefault="00537043">
      <w:pPr>
        <w:spacing w:before="120"/>
        <w:rPr>
          <w:rFonts w:ascii="宋体" w:eastAsia="宋体" w:hAnsi="宋体" w:cs="宋体"/>
        </w:rPr>
      </w:pPr>
      <w:r>
        <w:rPr>
          <w:rFonts w:ascii="宋体" w:eastAsia="宋体" w:hAnsi="宋体" w:cs="宋体" w:hint="eastAsia"/>
        </w:rPr>
        <w:t>7.2.2 【舒适空间】住宅建筑的底层架空区域作为公共活动场所时应保证空间高度的舒适性，以满足相关功能活动的需求。本项最高得4分。</w:t>
      </w:r>
    </w:p>
    <w:p w:rsidR="00004F40" w:rsidRDefault="00537043">
      <w:pPr>
        <w:spacing w:before="120"/>
        <w:rPr>
          <w:rFonts w:ascii="宋体" w:eastAsia="宋体" w:hAnsi="宋体" w:cs="宋体"/>
        </w:rPr>
      </w:pPr>
      <w:r>
        <w:rPr>
          <w:rFonts w:ascii="宋体" w:eastAsia="宋体" w:hAnsi="宋体" w:cs="宋体" w:hint="eastAsia"/>
        </w:rPr>
        <w:t>1) 总面积不小于40%住宅塔楼投影面积的住宅建筑底层采用架空形式，具备良好通风条件且作为居民公共活动空间，本项满足得1分；在此基础之上每增加5%加1分。本项最高得3分。</w:t>
      </w:r>
    </w:p>
    <w:p w:rsidR="00004F40" w:rsidRDefault="00537043">
      <w:pPr>
        <w:spacing w:before="120"/>
        <w:rPr>
          <w:rFonts w:ascii="宋体" w:eastAsia="宋体" w:hAnsi="宋体" w:cs="宋体"/>
        </w:rPr>
      </w:pPr>
      <w:r>
        <w:rPr>
          <w:rFonts w:ascii="宋体" w:eastAsia="宋体" w:hAnsi="宋体" w:cs="宋体" w:hint="eastAsia"/>
        </w:rPr>
        <w:t>2) 住宅建筑底层架空层内结合入口空间合理布置各楼栋快递暂存、物业信息发布栏等公共服务设施。本项满足得1分。本项最高得1分。</w:t>
      </w:r>
    </w:p>
    <w:p w:rsidR="00004F40" w:rsidRDefault="00537043">
      <w:pPr>
        <w:spacing w:before="120"/>
        <w:rPr>
          <w:rFonts w:ascii="宋体" w:eastAsia="宋体" w:hAnsi="宋体" w:cs="宋体"/>
        </w:rPr>
      </w:pPr>
      <w:r>
        <w:rPr>
          <w:rFonts w:ascii="宋体" w:eastAsia="宋体" w:hAnsi="宋体" w:cs="宋体" w:hint="eastAsia"/>
        </w:rPr>
        <w:t>7.2.3 【舒适空间】住宅建筑的公共空间应满足自然通风与采光的舒适性要求，并能够有利于促进楼栋内居民的公共交往活动。本项最高得4分。</w:t>
      </w:r>
    </w:p>
    <w:p w:rsidR="00004F40" w:rsidRDefault="00537043">
      <w:pPr>
        <w:spacing w:before="120"/>
        <w:rPr>
          <w:rFonts w:ascii="宋体" w:eastAsia="宋体" w:hAnsi="宋体" w:cs="宋体"/>
        </w:rPr>
      </w:pPr>
      <w:r>
        <w:rPr>
          <w:rFonts w:ascii="宋体" w:eastAsia="宋体" w:hAnsi="宋体" w:cs="宋体" w:hint="eastAsia"/>
        </w:rPr>
        <w:t>1) 住区内住宅建筑的电梯厅、公共走道等公共空间采用自然采光、自然通风或配置新风换气设施。本项满足得2分。本项最高得2分。</w:t>
      </w:r>
    </w:p>
    <w:p w:rsidR="00004F40" w:rsidRDefault="00004F40">
      <w:pPr>
        <w:spacing w:before="120"/>
        <w:rPr>
          <w:rFonts w:ascii="宋体" w:eastAsia="宋体" w:hAnsi="宋体" w:cs="宋体"/>
        </w:rPr>
      </w:pPr>
    </w:p>
    <w:p w:rsidR="00004F40" w:rsidRDefault="00537043">
      <w:pPr>
        <w:spacing w:before="120"/>
        <w:rPr>
          <w:rFonts w:ascii="宋体" w:eastAsia="宋体" w:hAnsi="宋体" w:cs="宋体"/>
        </w:rPr>
      </w:pPr>
      <w:r>
        <w:rPr>
          <w:rFonts w:ascii="宋体" w:eastAsia="宋体" w:hAnsi="宋体" w:cs="宋体" w:hint="eastAsia"/>
        </w:rPr>
        <w:t>2) 住宅建筑利用建筑屋面、空中平台等在五层或以上楼层设置可供本楼栋公共使用的开</w:t>
      </w:r>
      <w:r>
        <w:rPr>
          <w:rFonts w:ascii="宋体" w:eastAsia="宋体" w:hAnsi="宋体" w:cs="宋体" w:hint="eastAsia"/>
        </w:rPr>
        <w:lastRenderedPageBreak/>
        <w:t>敞绿化活动空间，具备可靠安全防护措施、室内外交界处设有可靠挡雨排水措施且不会对距离10米范围内的住宅户型造成直接影响。本项满足得2分。本项最高得2分。</w:t>
      </w:r>
    </w:p>
    <w:p w:rsidR="00004F40" w:rsidRDefault="00537043">
      <w:pPr>
        <w:spacing w:before="120"/>
        <w:rPr>
          <w:rFonts w:ascii="宋体" w:eastAsia="宋体" w:hAnsi="宋体" w:cs="宋体"/>
        </w:rPr>
      </w:pPr>
      <w:r>
        <w:rPr>
          <w:rFonts w:ascii="宋体" w:eastAsia="宋体" w:hAnsi="宋体" w:cs="宋体" w:hint="eastAsia"/>
        </w:rPr>
        <w:t>7.2.4 【舒适空间】住区机动车停车库应充分考虑到不同人群对停车空间的适应性与舒适性要求。本项最高得6分。</w:t>
      </w:r>
    </w:p>
    <w:p w:rsidR="00004F40" w:rsidRDefault="00537043">
      <w:pPr>
        <w:spacing w:before="120"/>
        <w:rPr>
          <w:rFonts w:ascii="宋体" w:eastAsia="宋体" w:hAnsi="宋体" w:cs="宋体"/>
        </w:rPr>
      </w:pPr>
      <w:r>
        <w:rPr>
          <w:rFonts w:ascii="宋体" w:eastAsia="宋体" w:hAnsi="宋体" w:cs="宋体" w:hint="eastAsia"/>
        </w:rPr>
        <w:t>1) 机动车停车库中车位尺寸≥2.5m X 5.5m的大尺寸车位数量不小于规划总车位数的8%，本项满足得1分；在此基础上每增加4%加1分。本项最高得3分。</w:t>
      </w:r>
    </w:p>
    <w:p w:rsidR="00004F40" w:rsidRDefault="00537043">
      <w:pPr>
        <w:spacing w:before="120"/>
        <w:rPr>
          <w:rFonts w:ascii="宋体" w:eastAsia="宋体" w:hAnsi="宋体" w:cs="宋体"/>
        </w:rPr>
      </w:pPr>
      <w:r>
        <w:rPr>
          <w:rFonts w:ascii="宋体" w:eastAsia="宋体" w:hAnsi="宋体" w:cs="宋体" w:hint="eastAsia"/>
        </w:rPr>
        <w:t>2) 机动车停车库无障碍车位数量不小于规划总车位数的2%。本项满足得1分。本项最高得1分。</w:t>
      </w:r>
    </w:p>
    <w:p w:rsidR="00004F40" w:rsidRDefault="00537043">
      <w:pPr>
        <w:spacing w:before="120"/>
        <w:rPr>
          <w:rFonts w:ascii="宋体" w:eastAsia="宋体" w:hAnsi="宋体" w:cs="宋体"/>
        </w:rPr>
      </w:pPr>
      <w:r>
        <w:rPr>
          <w:rFonts w:ascii="宋体" w:eastAsia="宋体" w:hAnsi="宋体" w:cs="宋体" w:hint="eastAsia"/>
        </w:rPr>
        <w:t>3) 机动车停车库中位于袋型车道两侧及尽端的车位数量不大于规划总车位数的20%，本项满足得2分。本项最高得2分。</w:t>
      </w:r>
    </w:p>
    <w:p w:rsidR="00004F40" w:rsidRDefault="00537043">
      <w:pPr>
        <w:spacing w:before="120"/>
        <w:rPr>
          <w:rFonts w:ascii="宋体" w:eastAsia="宋体" w:hAnsi="宋体" w:cs="宋体"/>
        </w:rPr>
      </w:pPr>
      <w:r>
        <w:rPr>
          <w:rFonts w:ascii="宋体" w:eastAsia="宋体" w:hAnsi="宋体" w:cs="宋体" w:hint="eastAsia"/>
        </w:rPr>
        <w:t>7.2.5 【舒适环境】住区内住宅建筑应尽可能避免电梯设备对户型的不利影响。当不少于75%套数比的住宅户型不与公共电梯井道贴临布置，本项满足得2分。本项最高得2分。</w:t>
      </w:r>
    </w:p>
    <w:p w:rsidR="00004F40" w:rsidRDefault="00537043">
      <w:pPr>
        <w:spacing w:before="120"/>
        <w:rPr>
          <w:rFonts w:ascii="宋体" w:eastAsia="宋体" w:hAnsi="宋体" w:cs="宋体"/>
        </w:rPr>
      </w:pPr>
      <w:r>
        <w:rPr>
          <w:rFonts w:ascii="宋体" w:eastAsia="宋体" w:hAnsi="宋体" w:cs="宋体" w:hint="eastAsia"/>
        </w:rPr>
        <w:t>7.2.6 【舒适环境】住区机动车停车库应通过采光天井、光导管等措施实现阳光地下室设计，改善车库采光环境，提升车库辨识度。本项最高得4分。</w:t>
      </w:r>
    </w:p>
    <w:p w:rsidR="00004F40" w:rsidRDefault="00537043">
      <w:pPr>
        <w:spacing w:before="120"/>
        <w:rPr>
          <w:rFonts w:ascii="宋体" w:eastAsia="宋体" w:hAnsi="宋体" w:cs="宋体"/>
        </w:rPr>
      </w:pPr>
      <w:r>
        <w:rPr>
          <w:rFonts w:ascii="宋体" w:eastAsia="宋体" w:hAnsi="宋体" w:cs="宋体" w:hint="eastAsia"/>
        </w:rPr>
        <w:t>1) 机动车停车库首层平面中平均采光系数不小于0.5%面积达到本层车库建筑面积的10%，本项满足得2分；面积达到15%。本项满足得3分。本项最高得3分。</w:t>
      </w:r>
    </w:p>
    <w:p w:rsidR="00004F40" w:rsidRDefault="00537043">
      <w:pPr>
        <w:spacing w:before="120"/>
        <w:rPr>
          <w:rFonts w:ascii="宋体" w:eastAsia="宋体" w:hAnsi="宋体" w:cs="宋体"/>
        </w:rPr>
      </w:pPr>
      <w:r>
        <w:rPr>
          <w:rFonts w:ascii="宋体" w:eastAsia="宋体" w:hAnsi="宋体" w:cs="宋体" w:hint="eastAsia"/>
        </w:rPr>
        <w:t>2) 机动车停车库首层的住宅单元入口结合自然采光设计提高地下空间辨识度。本项满足得1分。本项最高得1分。</w:t>
      </w:r>
    </w:p>
    <w:p w:rsidR="00004F40" w:rsidRDefault="00537043">
      <w:pPr>
        <w:spacing w:before="120"/>
        <w:rPr>
          <w:rFonts w:ascii="宋体" w:eastAsia="宋体" w:hAnsi="宋体" w:cs="宋体"/>
        </w:rPr>
      </w:pPr>
      <w:r>
        <w:rPr>
          <w:rFonts w:ascii="宋体" w:eastAsia="宋体" w:hAnsi="宋体" w:cs="宋体" w:hint="eastAsia"/>
        </w:rPr>
        <w:t>7.2.7 【舒适设施】住区生活供水（含二次加压调蓄）设施的设计、施工验收、运行维护和生活饮用水水质满足《广州市水务局关于印发广州市生活饮用水品质提升技术指引要点（试行）的通知》【穗水资源[2021]20号】的标准要求，并满足以下条件予以得分。本项最高得4分。</w:t>
      </w:r>
    </w:p>
    <w:p w:rsidR="00004F40" w:rsidRDefault="00537043">
      <w:pPr>
        <w:spacing w:before="120"/>
        <w:rPr>
          <w:rFonts w:ascii="宋体" w:eastAsia="宋体" w:hAnsi="宋体" w:cs="宋体"/>
        </w:rPr>
      </w:pPr>
      <w:r>
        <w:rPr>
          <w:rFonts w:ascii="宋体" w:eastAsia="宋体" w:hAnsi="宋体" w:cs="宋体" w:hint="eastAsia"/>
        </w:rPr>
        <w:t>1) 水表采用智能水表、生活储水池及明敷生活给水管道使用食品级不锈钢材质。本项满足得2分。本项最高得2分。</w:t>
      </w:r>
    </w:p>
    <w:p w:rsidR="00004F40" w:rsidRDefault="00537043">
      <w:pPr>
        <w:spacing w:before="120"/>
        <w:rPr>
          <w:rFonts w:ascii="宋体" w:eastAsia="宋体" w:hAnsi="宋体" w:cs="宋体"/>
        </w:rPr>
      </w:pPr>
      <w:r>
        <w:rPr>
          <w:rFonts w:ascii="宋体" w:eastAsia="宋体" w:hAnsi="宋体" w:cs="宋体" w:hint="eastAsia"/>
        </w:rPr>
        <w:t>2) 生活供水采用分格双水箱，达到水箱清洗或维护不影响住户用水，本项满足得2分。本项最高得2分。</w:t>
      </w:r>
    </w:p>
    <w:p w:rsidR="00004F40" w:rsidRDefault="00537043">
      <w:pPr>
        <w:pStyle w:val="2"/>
        <w:jc w:val="center"/>
        <w:rPr>
          <w:rFonts w:ascii="宋体" w:eastAsia="宋体" w:hAnsi="宋体" w:cs="宋体"/>
        </w:rPr>
      </w:pPr>
      <w:bookmarkStart w:id="16" w:name="_Toc2104853807"/>
      <w:r>
        <w:rPr>
          <w:rFonts w:ascii="宋体" w:eastAsia="宋体" w:hAnsi="宋体" w:cs="宋体"/>
          <w:sz w:val="24"/>
        </w:rPr>
        <w:t>7.3 加分项</w:t>
      </w:r>
      <w:bookmarkEnd w:id="16"/>
    </w:p>
    <w:p w:rsidR="00004F40" w:rsidRDefault="00537043">
      <w:pPr>
        <w:spacing w:before="120"/>
        <w:rPr>
          <w:rFonts w:ascii="宋体" w:eastAsia="宋体" w:hAnsi="宋体" w:cs="宋体"/>
        </w:rPr>
      </w:pPr>
      <w:r>
        <w:rPr>
          <w:rFonts w:ascii="宋体" w:eastAsia="宋体" w:hAnsi="宋体" w:cs="宋体" w:hint="eastAsia"/>
        </w:rPr>
        <w:t>7.3.1 【健康建筑】住区内占总建筑面积比例20%且不少于1栋的住宅建筑达到现行《健康建筑评价标准》TASC 02的银级标准，本项满足得2.5分；达到金级及以上标准，得5分。本项最高得5分。</w:t>
      </w:r>
    </w:p>
    <w:p w:rsidR="00004F40" w:rsidRDefault="00537043">
      <w:pPr>
        <w:spacing w:before="120"/>
        <w:rPr>
          <w:rFonts w:ascii="黑体" w:eastAsia="黑体" w:hAnsi="黑体" w:cs="黑体"/>
          <w:sz w:val="28"/>
        </w:rPr>
      </w:pPr>
      <w:r>
        <w:rPr>
          <w:rFonts w:ascii="宋体" w:eastAsia="宋体" w:hAnsi="宋体" w:cs="宋体" w:hint="eastAsia"/>
        </w:rPr>
        <w:lastRenderedPageBreak/>
        <w:t>7.3.2 【健康建筑】住区内的住宅建筑应充分考虑无障碍、适老化要求。当住区内不少于5%套数比的住宅户型满足《建筑与市政工程无障碍通用规范》GB55019中无障碍住房、居室以及《老年人照料设施建筑设计标准》JGJ450中无障碍设计的要求，本项满足得1分；不少于8%。本项满足得2分。本项最高得2分。</w:t>
      </w:r>
    </w:p>
    <w:p w:rsidR="00004F40" w:rsidRDefault="00004F40">
      <w:pPr>
        <w:pStyle w:val="10"/>
        <w:spacing w:before="340" w:after="330" w:line="576" w:lineRule="auto"/>
        <w:ind w:left="540" w:hanging="540"/>
        <w:jc w:val="center"/>
        <w:rPr>
          <w:rFonts w:ascii="黑体" w:eastAsia="黑体" w:hAnsi="黑体" w:cs="黑体"/>
          <w:sz w:val="28"/>
        </w:rPr>
      </w:pPr>
    </w:p>
    <w:p w:rsidR="00004F40" w:rsidRDefault="00004F40">
      <w:pPr>
        <w:spacing w:before="120"/>
      </w:pPr>
    </w:p>
    <w:p w:rsidR="00004F40" w:rsidRDefault="00004F40">
      <w:pPr>
        <w:pStyle w:val="1"/>
        <w:spacing w:before="120"/>
      </w:pPr>
    </w:p>
    <w:p w:rsidR="00004F40" w:rsidRDefault="00004F40">
      <w:pPr>
        <w:spacing w:before="120"/>
      </w:pPr>
    </w:p>
    <w:p w:rsidR="00004F40" w:rsidRDefault="00004F40">
      <w:pPr>
        <w:pStyle w:val="1"/>
        <w:spacing w:before="120"/>
      </w:pPr>
    </w:p>
    <w:p w:rsidR="00004F40" w:rsidRDefault="00004F40">
      <w:pPr>
        <w:spacing w:before="120"/>
      </w:pPr>
    </w:p>
    <w:p w:rsidR="00004F40" w:rsidRDefault="00004F40">
      <w:pPr>
        <w:pStyle w:val="1"/>
        <w:spacing w:before="120"/>
      </w:pPr>
    </w:p>
    <w:p w:rsidR="00004F40" w:rsidRDefault="00004F40">
      <w:pPr>
        <w:spacing w:before="120"/>
      </w:pPr>
    </w:p>
    <w:p w:rsidR="00004F40" w:rsidRDefault="00004F40">
      <w:pPr>
        <w:pStyle w:val="1"/>
        <w:spacing w:before="120"/>
      </w:pPr>
    </w:p>
    <w:p w:rsidR="00004F40" w:rsidRDefault="00004F40">
      <w:pPr>
        <w:pStyle w:val="10"/>
        <w:spacing w:before="340" w:after="330" w:line="576" w:lineRule="auto"/>
        <w:rPr>
          <w:rFonts w:ascii="黑体" w:eastAsia="黑体" w:hAnsi="黑体" w:cs="黑体"/>
          <w:sz w:val="28"/>
        </w:rPr>
      </w:pPr>
    </w:p>
    <w:p w:rsidR="00004F40" w:rsidRDefault="00004F40">
      <w:pPr>
        <w:spacing w:before="120"/>
      </w:pPr>
    </w:p>
    <w:p w:rsidR="00004F40" w:rsidRDefault="00537043">
      <w:pPr>
        <w:pStyle w:val="10"/>
        <w:spacing w:before="340" w:after="330" w:line="576" w:lineRule="auto"/>
        <w:jc w:val="center"/>
      </w:pPr>
      <w:bookmarkStart w:id="17" w:name="_Toc1866002609"/>
      <w:r>
        <w:rPr>
          <w:rFonts w:ascii="黑体" w:eastAsia="黑体" w:hAnsi="黑体" w:cs="黑体"/>
          <w:sz w:val="28"/>
        </w:rPr>
        <w:t>8     节能与环保</w:t>
      </w:r>
      <w:bookmarkEnd w:id="17"/>
    </w:p>
    <w:p w:rsidR="00004F40" w:rsidRDefault="00537043">
      <w:pPr>
        <w:pStyle w:val="2"/>
        <w:jc w:val="center"/>
      </w:pPr>
      <w:bookmarkStart w:id="18" w:name="_Toc1703235064"/>
      <w:r>
        <w:rPr>
          <w:rFonts w:ascii="宋体" w:eastAsia="宋体" w:hAnsi="宋体" w:cs="宋体"/>
          <w:sz w:val="24"/>
        </w:rPr>
        <w:t>8.1控制项</w:t>
      </w:r>
      <w:bookmarkEnd w:id="18"/>
    </w:p>
    <w:p w:rsidR="00004F40" w:rsidRDefault="00537043">
      <w:pPr>
        <w:spacing w:before="120"/>
        <w:rPr>
          <w:rFonts w:ascii="宋体" w:eastAsia="宋体" w:hAnsi="宋体" w:cs="宋体"/>
        </w:rPr>
      </w:pPr>
      <w:r>
        <w:rPr>
          <w:rFonts w:ascii="宋体" w:eastAsia="宋体" w:hAnsi="宋体" w:cs="宋体" w:hint="eastAsia"/>
        </w:rPr>
        <w:t>8.1.1【节能环保】公共区域的照明系统应采用分区、定时、感应等节能控制；采光区域的照明控制应独立于其他区域的照明控制。</w:t>
      </w:r>
    </w:p>
    <w:p w:rsidR="00004F40" w:rsidRDefault="00537043">
      <w:pPr>
        <w:spacing w:before="120"/>
        <w:rPr>
          <w:rFonts w:ascii="宋体" w:eastAsia="宋体" w:hAnsi="宋体" w:cs="宋体"/>
        </w:rPr>
      </w:pPr>
      <w:r>
        <w:rPr>
          <w:rFonts w:ascii="宋体" w:eastAsia="宋体" w:hAnsi="宋体" w:cs="宋体" w:hint="eastAsia"/>
        </w:rPr>
        <w:t>8.1.2【节能环保】垂直电梯应采取变频调速或能量反馈等节能措施；自动扶梯应采用变频感应启动等节能控制措施。</w:t>
      </w:r>
    </w:p>
    <w:p w:rsidR="00004F40" w:rsidRDefault="00004F40">
      <w:pPr>
        <w:spacing w:before="120"/>
      </w:pPr>
    </w:p>
    <w:p w:rsidR="00004F40" w:rsidRDefault="00537043">
      <w:pPr>
        <w:pStyle w:val="2"/>
        <w:jc w:val="center"/>
      </w:pPr>
      <w:r>
        <w:rPr>
          <w:rFonts w:ascii="宋体" w:eastAsia="宋体" w:hAnsi="宋体" w:cs="宋体"/>
          <w:sz w:val="24"/>
        </w:rPr>
        <w:lastRenderedPageBreak/>
        <w:t xml:space="preserve">   </w:t>
      </w:r>
      <w:bookmarkStart w:id="19" w:name="_Toc815492365"/>
      <w:r>
        <w:rPr>
          <w:rFonts w:eastAsia="Arial" w:cs="Arial"/>
          <w:sz w:val="24"/>
        </w:rPr>
        <w:t>8.2</w:t>
      </w:r>
      <w:r>
        <w:rPr>
          <w:rFonts w:ascii="宋体" w:eastAsia="宋体" w:hAnsi="宋体" w:cs="宋体"/>
          <w:sz w:val="24"/>
        </w:rPr>
        <w:t>得分项</w:t>
      </w:r>
      <w:bookmarkEnd w:id="19"/>
    </w:p>
    <w:p w:rsidR="00004F40" w:rsidRDefault="00537043">
      <w:pPr>
        <w:spacing w:before="120"/>
        <w:rPr>
          <w:rFonts w:ascii="宋体" w:eastAsia="宋体" w:hAnsi="宋体" w:cs="宋体"/>
        </w:rPr>
      </w:pPr>
      <w:r>
        <w:rPr>
          <w:rFonts w:ascii="宋体" w:eastAsia="宋体" w:hAnsi="宋体" w:cs="宋体" w:hint="eastAsia"/>
        </w:rPr>
        <w:t>8.2.1 【节能及能源利用】东、西、南向外窗和透明幕墙应设置遮阳措施，东西南北朝向夏季太阳得热系数比《建筑节能与可再生能源利用通用规范》GB 55015中限值降低15%，本项满足得1分；限值降低20%时。本项满足得2分。本项最高得2分。</w:t>
      </w:r>
    </w:p>
    <w:p w:rsidR="00004F40" w:rsidRDefault="00537043">
      <w:pPr>
        <w:spacing w:before="120"/>
        <w:rPr>
          <w:rFonts w:ascii="宋体" w:eastAsia="宋体" w:hAnsi="宋体" w:cs="宋体"/>
        </w:rPr>
      </w:pPr>
      <w:r>
        <w:rPr>
          <w:rFonts w:ascii="宋体" w:eastAsia="宋体" w:hAnsi="宋体" w:cs="宋体" w:hint="eastAsia"/>
        </w:rPr>
        <w:t>8.2.2 【节能及能源利用】居住建筑外窗的通风开口面积与房间地板面积的比例大于10%或外窗面积的45%，得1分；外窗的通风开口面积与房间地板面积的比例大于12%或外窗面积的50%，得1分。本项最高得2分。</w:t>
      </w:r>
    </w:p>
    <w:p w:rsidR="00004F40" w:rsidRDefault="00537043">
      <w:pPr>
        <w:spacing w:before="120"/>
        <w:rPr>
          <w:rFonts w:ascii="宋体" w:eastAsia="宋体" w:hAnsi="宋体" w:cs="宋体"/>
        </w:rPr>
      </w:pPr>
      <w:r>
        <w:rPr>
          <w:rFonts w:ascii="宋体" w:eastAsia="宋体" w:hAnsi="宋体" w:cs="宋体" w:hint="eastAsia"/>
        </w:rPr>
        <w:t>8.2.3 【节能及能源利用】采用独立新风净化系统。本项满足得2分。本项最高得2分。</w:t>
      </w:r>
    </w:p>
    <w:p w:rsidR="00004F40" w:rsidRDefault="00537043">
      <w:pPr>
        <w:spacing w:before="120"/>
        <w:rPr>
          <w:rFonts w:ascii="宋体" w:eastAsia="宋体" w:hAnsi="宋体" w:cs="宋体"/>
        </w:rPr>
      </w:pPr>
      <w:r>
        <w:rPr>
          <w:rFonts w:ascii="宋体" w:eastAsia="宋体" w:hAnsi="宋体" w:cs="宋体" w:hint="eastAsia"/>
        </w:rPr>
        <w:t>8.2.4 【节能及能源利用】充分利用可再生能源，且光伏发电实现并网。本项最高得3分。</w:t>
      </w:r>
    </w:p>
    <w:p w:rsidR="00004F40" w:rsidRDefault="00537043">
      <w:pPr>
        <w:spacing w:before="120"/>
        <w:rPr>
          <w:rFonts w:ascii="宋体" w:eastAsia="宋体" w:hAnsi="宋体" w:cs="宋体"/>
        </w:rPr>
      </w:pPr>
      <w:r>
        <w:rPr>
          <w:rFonts w:ascii="宋体" w:eastAsia="宋体" w:hAnsi="宋体" w:cs="宋体" w:hint="eastAsia"/>
        </w:rPr>
        <w:t>1）不少于 30%屋面水平投影面积设置太阳能光伏组件，或利用可再生能源提供生活热水的住户比例达到20%。本项满足得2分。本项最高得2分。</w:t>
      </w:r>
    </w:p>
    <w:p w:rsidR="00004F40" w:rsidRDefault="00537043">
      <w:pPr>
        <w:spacing w:before="120"/>
        <w:rPr>
          <w:rFonts w:ascii="宋体" w:eastAsia="宋体" w:hAnsi="宋体" w:cs="宋体"/>
        </w:rPr>
      </w:pPr>
      <w:r>
        <w:rPr>
          <w:rFonts w:ascii="宋体" w:eastAsia="宋体" w:hAnsi="宋体" w:cs="宋体" w:hint="eastAsia"/>
        </w:rPr>
        <w:t>2）不少于 40%屋面水平投影面积设置太阳能光伏组件，或利用可再生能源提供生活热水的住户比例达到50%。本项满足得3分。本项最高得3分。</w:t>
      </w:r>
    </w:p>
    <w:p w:rsidR="00004F40" w:rsidRDefault="00537043">
      <w:pPr>
        <w:spacing w:before="120"/>
        <w:rPr>
          <w:rFonts w:ascii="宋体" w:eastAsia="宋体" w:hAnsi="宋体" w:cs="宋体"/>
        </w:rPr>
      </w:pPr>
      <w:r>
        <w:rPr>
          <w:rFonts w:ascii="宋体" w:eastAsia="宋体" w:hAnsi="宋体" w:cs="宋体" w:hint="eastAsia"/>
        </w:rPr>
        <w:t>8.2.5 【节水及水资源利用】使用较高用水效率等级的卫生器具，全部卫生器具的用水效率等级达到1级。本项满足得2分。本项最高得2分。</w:t>
      </w:r>
    </w:p>
    <w:p w:rsidR="00004F40" w:rsidRDefault="00537043">
      <w:pPr>
        <w:spacing w:before="120"/>
        <w:rPr>
          <w:rFonts w:ascii="宋体" w:eastAsia="宋体" w:hAnsi="宋体" w:cs="宋体"/>
        </w:rPr>
      </w:pPr>
      <w:r>
        <w:rPr>
          <w:rFonts w:ascii="宋体" w:eastAsia="宋体" w:hAnsi="宋体" w:cs="宋体" w:hint="eastAsia"/>
        </w:rPr>
        <w:t>8.2.6 【节水及水资源利用】使用非传统水源。本项最高得2分。</w:t>
      </w:r>
    </w:p>
    <w:p w:rsidR="00004F40" w:rsidRDefault="00537043">
      <w:pPr>
        <w:spacing w:before="120"/>
        <w:rPr>
          <w:rFonts w:ascii="宋体" w:eastAsia="宋体" w:hAnsi="宋体" w:cs="宋体"/>
        </w:rPr>
      </w:pPr>
      <w:r>
        <w:rPr>
          <w:rFonts w:ascii="宋体" w:eastAsia="宋体" w:hAnsi="宋体" w:cs="宋体" w:hint="eastAsia"/>
        </w:rPr>
        <w:t>1）室外公共绿地或公共空间的垂直绿化系统或立面花槽应设置自动喷灌系统，并设置组织排水。本项满足得1分。本项最高得1分。</w:t>
      </w:r>
    </w:p>
    <w:p w:rsidR="00004F40" w:rsidRDefault="00537043">
      <w:pPr>
        <w:spacing w:before="120"/>
        <w:rPr>
          <w:rFonts w:ascii="宋体" w:eastAsia="宋体" w:hAnsi="宋体" w:cs="宋体"/>
        </w:rPr>
      </w:pPr>
      <w:r>
        <w:rPr>
          <w:rFonts w:ascii="宋体" w:eastAsia="宋体" w:hAnsi="宋体" w:cs="宋体" w:hint="eastAsia"/>
        </w:rPr>
        <w:t>2）绿化灌溉、车库及道路冲洗、洗车用水采用非传统水源的用水量占其总用水量的比例不低于50%。本项满足得1分。本项最高得1分。</w:t>
      </w:r>
    </w:p>
    <w:p w:rsidR="00004F40" w:rsidRDefault="00537043">
      <w:pPr>
        <w:spacing w:before="120"/>
        <w:rPr>
          <w:rFonts w:ascii="宋体" w:eastAsia="宋体" w:hAnsi="宋体" w:cs="宋体"/>
        </w:rPr>
      </w:pPr>
      <w:r>
        <w:rPr>
          <w:rFonts w:ascii="宋体" w:eastAsia="宋体" w:hAnsi="宋体" w:cs="宋体" w:hint="eastAsia"/>
        </w:rPr>
        <w:t>8.2.7 【节材及绿色建材】实施土建与装修工程一体化设计及施工，采用全装修交房。本项满足得1分。本项最高得1分。</w:t>
      </w:r>
    </w:p>
    <w:p w:rsidR="00004F40" w:rsidRDefault="00537043">
      <w:pPr>
        <w:spacing w:before="120"/>
        <w:rPr>
          <w:rFonts w:ascii="宋体" w:eastAsia="宋体" w:hAnsi="宋体" w:cs="宋体"/>
        </w:rPr>
      </w:pPr>
      <w:r>
        <w:rPr>
          <w:rFonts w:ascii="宋体" w:eastAsia="宋体" w:hAnsi="宋体" w:cs="宋体" w:hint="eastAsia"/>
        </w:rPr>
        <w:t>8.2.8 【节材及绿色建材】采用绿色建材，绿色建材应用比例不低于50%。本项满足得1分。不低于60%。本项满足得2分。本项最高2分。</w:t>
      </w:r>
    </w:p>
    <w:p w:rsidR="00004F40" w:rsidRDefault="00537043">
      <w:pPr>
        <w:spacing w:before="120"/>
        <w:rPr>
          <w:rFonts w:ascii="宋体" w:eastAsia="宋体" w:hAnsi="宋体" w:cs="宋体"/>
        </w:rPr>
      </w:pPr>
      <w:r>
        <w:rPr>
          <w:rFonts w:ascii="宋体" w:eastAsia="宋体" w:hAnsi="宋体" w:cs="宋体" w:hint="eastAsia"/>
        </w:rPr>
        <w:t>8.2.9 【节材及绿色建材】选用可再循环材料、可再利用材料，比例达到10%。本项满足得1分。本项最高得1分。</w:t>
      </w:r>
    </w:p>
    <w:p w:rsidR="00004F40" w:rsidRDefault="00537043">
      <w:pPr>
        <w:pStyle w:val="2"/>
        <w:jc w:val="center"/>
      </w:pPr>
      <w:r>
        <w:rPr>
          <w:rFonts w:ascii="宋体" w:eastAsia="宋体" w:hAnsi="宋体" w:cs="宋体"/>
          <w:sz w:val="24"/>
        </w:rPr>
        <w:lastRenderedPageBreak/>
        <w:t xml:space="preserve">   </w:t>
      </w:r>
      <w:bookmarkStart w:id="20" w:name="_Toc554792261"/>
      <w:r>
        <w:rPr>
          <w:rFonts w:eastAsia="Arial" w:cs="Arial"/>
          <w:sz w:val="24"/>
        </w:rPr>
        <w:t>8.3</w:t>
      </w:r>
      <w:r>
        <w:rPr>
          <w:rFonts w:ascii="宋体" w:eastAsia="宋体" w:hAnsi="宋体" w:cs="宋体"/>
          <w:sz w:val="24"/>
        </w:rPr>
        <w:t>加分项</w:t>
      </w:r>
      <w:bookmarkEnd w:id="20"/>
    </w:p>
    <w:p w:rsidR="00004F40" w:rsidRDefault="00537043">
      <w:pPr>
        <w:spacing w:before="120"/>
        <w:rPr>
          <w:rFonts w:ascii="宋体" w:eastAsia="宋体" w:hAnsi="宋体" w:cs="宋体"/>
        </w:rPr>
      </w:pPr>
      <w:r>
        <w:rPr>
          <w:rFonts w:ascii="宋体" w:eastAsia="宋体" w:hAnsi="宋体" w:cs="宋体" w:hint="eastAsia"/>
        </w:rPr>
        <w:t>8.3.1 【超低能耗】占总建筑面积比例20%且不少于1栋的住宅建筑取得超低能耗认证。本项满足得4分。本项最高得4分。</w:t>
      </w:r>
    </w:p>
    <w:p w:rsidR="00004F40" w:rsidRDefault="00537043">
      <w:pPr>
        <w:spacing w:before="120"/>
        <w:rPr>
          <w:rFonts w:ascii="宋体" w:eastAsia="宋体" w:hAnsi="宋体" w:cs="宋体"/>
        </w:rPr>
      </w:pPr>
      <w:r>
        <w:rPr>
          <w:rFonts w:ascii="宋体" w:eastAsia="宋体" w:hAnsi="宋体" w:cs="宋体" w:hint="eastAsia"/>
        </w:rPr>
        <w:t>8.3.2 【预制构件】外墙装饰线脚宜采用耐候性好的预制装饰线条（新型轻质材料），并与主体有可靠连接。本项满足得1分。本项最高得1分。</w:t>
      </w:r>
    </w:p>
    <w:p w:rsidR="00004F40" w:rsidRDefault="00537043">
      <w:pPr>
        <w:spacing w:before="120"/>
        <w:rPr>
          <w:rFonts w:ascii="宋体" w:eastAsia="宋体" w:hAnsi="宋体" w:cs="宋体"/>
        </w:rPr>
      </w:pPr>
      <w:r>
        <w:rPr>
          <w:rFonts w:ascii="宋体" w:eastAsia="宋体" w:hAnsi="宋体" w:cs="宋体" w:hint="eastAsia"/>
        </w:rPr>
        <w:t>8.3.3 【装配式建筑】采用装配式建造技术，装配率大于50%。本项满足得2分。本项最高得2分。</w:t>
      </w:r>
    </w:p>
    <w:p w:rsidR="00004F40" w:rsidRDefault="00004F40">
      <w:pPr>
        <w:spacing w:before="120"/>
      </w:pPr>
    </w:p>
    <w:p w:rsidR="00004F40" w:rsidRDefault="00537043">
      <w:pPr>
        <w:spacing w:before="120"/>
        <w:rPr>
          <w:rFonts w:ascii="黑体" w:eastAsia="黑体" w:hAnsi="黑体" w:cs="黑体"/>
          <w:sz w:val="28"/>
        </w:rPr>
      </w:pPr>
      <w:r>
        <w:rPr>
          <w:rFonts w:ascii="黑体" w:eastAsia="黑体" w:hAnsi="黑体" w:cs="黑体"/>
          <w:sz w:val="28"/>
        </w:rPr>
        <w:br w:type="page"/>
      </w:r>
    </w:p>
    <w:p w:rsidR="00004F40" w:rsidRDefault="00537043">
      <w:pPr>
        <w:pStyle w:val="10"/>
        <w:spacing w:before="340" w:after="330" w:line="576" w:lineRule="auto"/>
        <w:ind w:left="540" w:hanging="540"/>
        <w:jc w:val="center"/>
        <w:rPr>
          <w:rFonts w:ascii="黑体" w:eastAsia="黑体" w:hAnsi="黑体" w:cs="黑体"/>
          <w:sz w:val="28"/>
        </w:rPr>
      </w:pPr>
      <w:bookmarkStart w:id="21" w:name="_Toc508313301"/>
      <w:r>
        <w:rPr>
          <w:rFonts w:ascii="黑体" w:eastAsia="黑体" w:hAnsi="黑体" w:cs="黑体"/>
          <w:sz w:val="28"/>
        </w:rPr>
        <w:lastRenderedPageBreak/>
        <w:t>9</w:t>
      </w:r>
      <w:r>
        <w:rPr>
          <w:rFonts w:ascii="Calibri" w:eastAsia="黑体" w:hAnsi="Calibri" w:cs="Calibri"/>
          <w:sz w:val="28"/>
        </w:rPr>
        <w:t>    </w:t>
      </w:r>
      <w:r>
        <w:rPr>
          <w:rFonts w:ascii="黑体" w:eastAsia="黑体" w:hAnsi="黑体" w:cs="黑体"/>
          <w:sz w:val="28"/>
        </w:rPr>
        <w:t xml:space="preserve"> 智慧与数字</w:t>
      </w:r>
      <w:bookmarkEnd w:id="21"/>
    </w:p>
    <w:p w:rsidR="00004F40" w:rsidRDefault="00537043">
      <w:pPr>
        <w:pStyle w:val="2"/>
        <w:jc w:val="center"/>
      </w:pPr>
      <w:bookmarkStart w:id="22" w:name="_Toc295588978"/>
      <w:r>
        <w:rPr>
          <w:rFonts w:ascii="宋体" w:eastAsia="宋体" w:hAnsi="宋体" w:cs="宋体"/>
          <w:sz w:val="24"/>
        </w:rPr>
        <w:t>9.1 控制项</w:t>
      </w:r>
      <w:bookmarkEnd w:id="22"/>
    </w:p>
    <w:p w:rsidR="00004F40" w:rsidRDefault="00537043">
      <w:pPr>
        <w:spacing w:before="120"/>
        <w:rPr>
          <w:rFonts w:ascii="宋体" w:eastAsia="宋体" w:hAnsi="宋体" w:cs="宋体"/>
        </w:rPr>
      </w:pPr>
      <w:r>
        <w:rPr>
          <w:rFonts w:ascii="宋体" w:eastAsia="宋体" w:hAnsi="宋体" w:cs="宋体" w:hint="eastAsia"/>
        </w:rPr>
        <w:t>9.1.1 【智慧社区】住区应建设完善的通信基础设施，包括光纤到户通信系统、5G通信基础配套设施及室内分布系统等，并满足多家电信业务经营者平等接入。</w:t>
      </w:r>
    </w:p>
    <w:p w:rsidR="00004F40" w:rsidRDefault="00537043">
      <w:pPr>
        <w:spacing w:before="120"/>
        <w:rPr>
          <w:rFonts w:ascii="宋体" w:eastAsia="宋体" w:hAnsi="宋体" w:cs="宋体"/>
        </w:rPr>
      </w:pPr>
      <w:r>
        <w:rPr>
          <w:rFonts w:ascii="宋体" w:eastAsia="宋体" w:hAnsi="宋体" w:cs="宋体" w:hint="eastAsia"/>
        </w:rPr>
        <w:t>9.1.2 【智慧社区】住区应设置完善的公共安全防范系统，并符合以下要求：</w:t>
      </w:r>
    </w:p>
    <w:p w:rsidR="00004F40" w:rsidRDefault="00537043">
      <w:pPr>
        <w:spacing w:before="120"/>
        <w:rPr>
          <w:rFonts w:ascii="宋体" w:eastAsia="宋体" w:hAnsi="宋体" w:cs="宋体"/>
        </w:rPr>
      </w:pPr>
      <w:r>
        <w:rPr>
          <w:rFonts w:ascii="宋体" w:eastAsia="宋体" w:hAnsi="宋体" w:cs="宋体" w:hint="eastAsia"/>
        </w:rPr>
        <w:t>1）视频安防监控摄像机分辨率不低于200W像素，视频信号以1080P格式存储不少于30天，监控区域基本覆盖住区重点公共区域。</w:t>
      </w:r>
    </w:p>
    <w:p w:rsidR="00004F40" w:rsidRDefault="00537043">
      <w:pPr>
        <w:spacing w:before="120"/>
        <w:rPr>
          <w:rFonts w:ascii="宋体" w:eastAsia="宋体" w:hAnsi="宋体" w:cs="宋体"/>
        </w:rPr>
      </w:pPr>
      <w:r>
        <w:rPr>
          <w:rFonts w:ascii="宋体" w:eastAsia="宋体" w:hAnsi="宋体" w:cs="宋体" w:hint="eastAsia"/>
        </w:rPr>
        <w:t>2）住区设置周界入侵报警系统，可采用红外对射、电子围栏或周界摄像机等技术手段，实现住区封闭式管理。</w:t>
      </w:r>
    </w:p>
    <w:p w:rsidR="00004F40" w:rsidRDefault="00537043">
      <w:pPr>
        <w:spacing w:before="120"/>
        <w:rPr>
          <w:rFonts w:ascii="宋体" w:eastAsia="宋体" w:hAnsi="宋体" w:cs="宋体"/>
        </w:rPr>
      </w:pPr>
      <w:r>
        <w:rPr>
          <w:rFonts w:ascii="宋体" w:eastAsia="宋体" w:hAnsi="宋体" w:cs="宋体" w:hint="eastAsia"/>
        </w:rPr>
        <w:t>3）访客对讲系统和门禁系统应形成有效的防护区，并通过可视对讲、刷卡和密码等形式授权开门。</w:t>
      </w:r>
    </w:p>
    <w:p w:rsidR="00004F40" w:rsidRDefault="00537043">
      <w:pPr>
        <w:spacing w:before="120"/>
        <w:rPr>
          <w:rFonts w:ascii="宋体" w:eastAsia="宋体" w:hAnsi="宋体" w:cs="宋体"/>
        </w:rPr>
      </w:pPr>
      <w:r>
        <w:rPr>
          <w:rFonts w:ascii="宋体" w:eastAsia="宋体" w:hAnsi="宋体" w:cs="宋体" w:hint="eastAsia"/>
        </w:rPr>
        <w:t>4）停车场管理系统应具备车牌识别进出、临月保、移动终端或电子支付在线缴费功能。</w:t>
      </w:r>
    </w:p>
    <w:p w:rsidR="00004F40" w:rsidRDefault="00537043">
      <w:pPr>
        <w:spacing w:before="120"/>
        <w:rPr>
          <w:rFonts w:ascii="宋体" w:eastAsia="宋体" w:hAnsi="宋体" w:cs="宋体"/>
        </w:rPr>
      </w:pPr>
      <w:r>
        <w:rPr>
          <w:rFonts w:ascii="宋体" w:eastAsia="宋体" w:hAnsi="宋体" w:cs="宋体" w:hint="eastAsia"/>
        </w:rPr>
        <w:t>9.1.3 【智慧社区】住区应实现基础移动互动功能，通过APP或小程序实现访客管理与可视对讲、停车管理及缴费。</w:t>
      </w:r>
    </w:p>
    <w:p w:rsidR="00004F40" w:rsidRDefault="00537043">
      <w:pPr>
        <w:spacing w:before="120"/>
        <w:rPr>
          <w:rFonts w:ascii="宋体" w:eastAsia="宋体" w:hAnsi="宋体" w:cs="宋体"/>
        </w:rPr>
      </w:pPr>
      <w:r>
        <w:rPr>
          <w:rFonts w:ascii="宋体" w:eastAsia="宋体" w:hAnsi="宋体" w:cs="宋体" w:hint="eastAsia"/>
        </w:rPr>
        <w:t>9.1.4 【数字机房】社区数字核心机房建设应遵循可维护、可扩展及安全可靠的原则。网络设备的选型要选择带网管功能的交换机，通过交换机不同策略配置，实现对网络灵活、弹性、安全地管理。同时，选用专业服务器，合理选用RAID级别，必要时添置专业的存储阵列实现数据的存储备份。做到不因系统宕机、硬盘损坏丢失数据。</w:t>
      </w:r>
    </w:p>
    <w:p w:rsidR="00004F40" w:rsidRDefault="00537043">
      <w:pPr>
        <w:spacing w:before="120"/>
        <w:rPr>
          <w:rFonts w:ascii="宋体" w:eastAsia="宋体" w:hAnsi="宋体" w:cs="宋体"/>
        </w:rPr>
      </w:pPr>
      <w:r>
        <w:rPr>
          <w:rFonts w:ascii="宋体" w:eastAsia="宋体" w:hAnsi="宋体" w:cs="宋体" w:hint="eastAsia"/>
        </w:rPr>
        <w:t>9.1.5 【家居网络】户内配置家庭智能信息箱，应符合国家标准GB/T 37142《住宅用综合信息箱技术要求》的规定。同时，应合理布置户内信息网络插座的位置和数量，以支持全屋WIFI信号良好覆盖。在家庭信息箱与各房间之间分别预留一条光纤，以支持家庭各个区域部署物联网信号连接。</w:t>
      </w:r>
    </w:p>
    <w:p w:rsidR="00004F40" w:rsidRDefault="00537043">
      <w:pPr>
        <w:spacing w:before="120"/>
        <w:rPr>
          <w:rFonts w:ascii="宋体" w:eastAsia="宋体" w:hAnsi="宋体" w:cs="宋体"/>
        </w:rPr>
      </w:pPr>
      <w:r>
        <w:rPr>
          <w:rFonts w:ascii="宋体" w:eastAsia="宋体" w:hAnsi="宋体" w:cs="宋体" w:hint="eastAsia"/>
        </w:rPr>
        <w:t>9.1.6 【BIM应用】项目应在规划、设计、施工及竣工验收阶段采用BIM技术，BIM模型精细度应满足广州市BIM、CIM相关标准要求。</w:t>
      </w:r>
    </w:p>
    <w:p w:rsidR="00004F40" w:rsidRDefault="00537043">
      <w:pPr>
        <w:spacing w:before="120"/>
        <w:rPr>
          <w:rFonts w:ascii="宋体" w:eastAsia="宋体" w:hAnsi="宋体" w:cs="宋体"/>
        </w:rPr>
      </w:pPr>
      <w:r>
        <w:rPr>
          <w:rFonts w:ascii="宋体" w:eastAsia="宋体" w:hAnsi="宋体" w:cs="宋体" w:hint="eastAsia"/>
        </w:rPr>
        <w:t>9.1.7 【BIM应用】项目设计成果应满足项目使用方对模型的可视化功能需求，可实现楼宇建筑外观、建筑内部空间结构的可视化展示。</w:t>
      </w:r>
    </w:p>
    <w:p w:rsidR="00004F40" w:rsidRDefault="00537043">
      <w:pPr>
        <w:pStyle w:val="2"/>
        <w:jc w:val="center"/>
      </w:pPr>
      <w:bookmarkStart w:id="23" w:name="_Toc923429094"/>
      <w:r>
        <w:rPr>
          <w:rFonts w:ascii="宋体" w:eastAsia="宋体" w:hAnsi="宋体" w:cs="宋体"/>
          <w:sz w:val="24"/>
        </w:rPr>
        <w:lastRenderedPageBreak/>
        <w:t>9.2 得分项</w:t>
      </w:r>
      <w:bookmarkEnd w:id="23"/>
    </w:p>
    <w:p w:rsidR="00004F40" w:rsidRDefault="00537043">
      <w:pPr>
        <w:spacing w:before="120"/>
        <w:rPr>
          <w:rFonts w:ascii="宋体" w:eastAsia="宋体" w:hAnsi="宋体" w:cs="宋体"/>
        </w:rPr>
      </w:pPr>
      <w:r>
        <w:rPr>
          <w:rFonts w:ascii="宋体" w:eastAsia="宋体" w:hAnsi="宋体" w:cs="宋体" w:hint="eastAsia"/>
        </w:rPr>
        <w:t>9.2.1 【智慧社区】住区除了实现无线5G覆盖外，主要活动场所及公共区域设置无线WiFi覆盖、背景音乐和数字信息发布系统。本项满足得1分。本项最高得1分。</w:t>
      </w:r>
    </w:p>
    <w:p w:rsidR="00004F40" w:rsidRDefault="00537043">
      <w:pPr>
        <w:spacing w:before="120"/>
        <w:rPr>
          <w:rFonts w:ascii="宋体" w:eastAsia="宋体" w:hAnsi="宋体" w:cs="宋体"/>
        </w:rPr>
      </w:pPr>
      <w:r>
        <w:rPr>
          <w:rFonts w:ascii="宋体" w:eastAsia="宋体" w:hAnsi="宋体" w:cs="宋体" w:hint="eastAsia"/>
        </w:rPr>
        <w:t>9.2.2 【智慧社区】住区设置建筑设备监控系统，对公共区域的机电设备、环境数据进行管控。本项满足得1分。设置能耗监测系统实现公共区域水电能耗监测，数据接入住区信息服务平台，支持异常状态报警及运维数据分析统计功能。本项满足得1分。本项最高得2分。</w:t>
      </w:r>
    </w:p>
    <w:p w:rsidR="00004F40" w:rsidRDefault="00537043">
      <w:pPr>
        <w:spacing w:before="120"/>
        <w:rPr>
          <w:rFonts w:ascii="宋体" w:eastAsia="宋体" w:hAnsi="宋体" w:cs="宋体"/>
        </w:rPr>
      </w:pPr>
      <w:r>
        <w:rPr>
          <w:rFonts w:ascii="宋体" w:eastAsia="宋体" w:hAnsi="宋体" w:cs="宋体" w:hint="eastAsia"/>
        </w:rPr>
        <w:t>9.2.3 【智慧社区】住区视频安防监控系统应具备AI功能，应具备以下至少四种：移动侦测、周界报警、电瓶车入梯检测、高空抛物、人脸识别功能。本项满足得1分。本项最高得1分。</w:t>
      </w:r>
    </w:p>
    <w:p w:rsidR="00004F40" w:rsidRDefault="00537043">
      <w:pPr>
        <w:spacing w:before="120"/>
        <w:rPr>
          <w:rFonts w:ascii="宋体" w:eastAsia="宋体" w:hAnsi="宋体" w:cs="宋体"/>
        </w:rPr>
      </w:pPr>
      <w:r>
        <w:rPr>
          <w:rFonts w:ascii="宋体" w:eastAsia="宋体" w:hAnsi="宋体" w:cs="宋体" w:hint="eastAsia"/>
        </w:rPr>
        <w:t>9.2.4 【智慧社区】住区人行入口闸机、楼栋单元门口机需具备人脸识别、访客二维码识别功能，实现住区流畅通行体验功能。本项满足得1分。本项最高得1分。</w:t>
      </w:r>
    </w:p>
    <w:p w:rsidR="00004F40" w:rsidRDefault="00537043">
      <w:pPr>
        <w:spacing w:before="120"/>
        <w:rPr>
          <w:rFonts w:ascii="宋体" w:eastAsia="宋体" w:hAnsi="宋体" w:cs="宋体"/>
        </w:rPr>
      </w:pPr>
      <w:r>
        <w:rPr>
          <w:rFonts w:ascii="宋体" w:eastAsia="宋体" w:hAnsi="宋体" w:cs="宋体" w:hint="eastAsia"/>
        </w:rPr>
        <w:t>9.2.5 【家居中控】户内设置智能中控网关。本项最高得3分，并按下列规则评分：</w:t>
      </w:r>
    </w:p>
    <w:p w:rsidR="00004F40" w:rsidRDefault="00537043">
      <w:pPr>
        <w:spacing w:before="120"/>
        <w:rPr>
          <w:rFonts w:ascii="宋体" w:eastAsia="宋体" w:hAnsi="宋体" w:cs="宋体"/>
        </w:rPr>
      </w:pPr>
      <w:r>
        <w:rPr>
          <w:rFonts w:ascii="宋体" w:eastAsia="宋体" w:hAnsi="宋体" w:cs="宋体" w:hint="eastAsia"/>
        </w:rPr>
        <w:t>1）中控网关通过有线或无线连接方式管理家庭各类智能设备，并支持无网络本地控制运行。本项满足得1分。本项最高得1分。</w:t>
      </w:r>
    </w:p>
    <w:p w:rsidR="00004F40" w:rsidRDefault="00537043">
      <w:pPr>
        <w:spacing w:before="120"/>
        <w:rPr>
          <w:rFonts w:ascii="宋体" w:eastAsia="宋体" w:hAnsi="宋体" w:cs="宋体"/>
        </w:rPr>
      </w:pPr>
      <w:r>
        <w:rPr>
          <w:rFonts w:ascii="宋体" w:eastAsia="宋体" w:hAnsi="宋体" w:cs="宋体" w:hint="eastAsia"/>
        </w:rPr>
        <w:t>2）中控网关支持第三方主流品牌智能家电、家私产品接入，如空调、健身器材、影音设备、智能家具等，实现互联管理、联动协同功能。本项满足得2分。本项最高得2分。</w:t>
      </w:r>
    </w:p>
    <w:p w:rsidR="00004F40" w:rsidRDefault="00537043">
      <w:pPr>
        <w:spacing w:before="120"/>
        <w:rPr>
          <w:rFonts w:ascii="宋体" w:eastAsia="宋体" w:hAnsi="宋体" w:cs="宋体"/>
        </w:rPr>
      </w:pPr>
      <w:r>
        <w:rPr>
          <w:rFonts w:ascii="宋体" w:eastAsia="宋体" w:hAnsi="宋体" w:cs="宋体" w:hint="eastAsia"/>
        </w:rPr>
        <w:t>9.2.6 【家居安全】设置完善的智能家居安防系统，具备警情手机推送、远程布撤防等安防功能。系统支持设置多种设备，包括智能门锁、烟雾探测器、水浸检测探头、红外幕帘、窗磁/门磁传感器、智能摄像头（含带摄像头的门铃）。每设置2种设备得1分。本项最高得3分。</w:t>
      </w:r>
    </w:p>
    <w:p w:rsidR="00004F40" w:rsidRDefault="00537043">
      <w:pPr>
        <w:spacing w:before="120"/>
        <w:rPr>
          <w:rFonts w:ascii="宋体" w:eastAsia="宋体" w:hAnsi="宋体" w:cs="宋体"/>
        </w:rPr>
      </w:pPr>
      <w:r>
        <w:rPr>
          <w:rFonts w:ascii="宋体" w:eastAsia="宋体" w:hAnsi="宋体" w:cs="宋体" w:hint="eastAsia"/>
        </w:rPr>
        <w:t>9.2.7 【家居照明】设置完善的智能照明控制系统。本项最高得3分，并按下列规则评分：1）至少实现玄关、客厅、饭厅、卧室四个场景区域照明开关控制。本项满足得1分。本项最高得1分。</w:t>
      </w:r>
    </w:p>
    <w:p w:rsidR="00004F40" w:rsidRDefault="00537043">
      <w:pPr>
        <w:spacing w:before="120"/>
        <w:rPr>
          <w:rFonts w:ascii="宋体" w:eastAsia="宋体" w:hAnsi="宋体" w:cs="宋体"/>
        </w:rPr>
      </w:pPr>
      <w:r>
        <w:rPr>
          <w:rFonts w:ascii="宋体" w:eastAsia="宋体" w:hAnsi="宋体" w:cs="宋体" w:hint="eastAsia"/>
        </w:rPr>
        <w:t>2）实现灯光亮度、色温调节。本项满足得1分。本项最高得1分。</w:t>
      </w:r>
    </w:p>
    <w:p w:rsidR="00004F40" w:rsidRDefault="00537043">
      <w:pPr>
        <w:spacing w:before="120"/>
        <w:rPr>
          <w:rFonts w:ascii="宋体" w:eastAsia="宋体" w:hAnsi="宋体" w:cs="宋体"/>
        </w:rPr>
      </w:pPr>
      <w:r>
        <w:rPr>
          <w:rFonts w:ascii="宋体" w:eastAsia="宋体" w:hAnsi="宋体" w:cs="宋体" w:hint="eastAsia"/>
        </w:rPr>
        <w:t>3）实现灯光色彩调节。本项满足得0.5分。本项最高得0.5分。</w:t>
      </w:r>
    </w:p>
    <w:p w:rsidR="00004F40" w:rsidRDefault="00537043">
      <w:pPr>
        <w:spacing w:before="120"/>
        <w:rPr>
          <w:rFonts w:ascii="宋体" w:eastAsia="宋体" w:hAnsi="宋体" w:cs="宋体"/>
        </w:rPr>
      </w:pPr>
      <w:r>
        <w:rPr>
          <w:rFonts w:ascii="宋体" w:eastAsia="宋体" w:hAnsi="宋体" w:cs="宋体" w:hint="eastAsia"/>
        </w:rPr>
        <w:t>4）支持场景自定义、面板、语音、传感器、APP远程控制、多设备联动至少三种功能。本项满足得0.5分。本项最高得0.5分。</w:t>
      </w:r>
    </w:p>
    <w:p w:rsidR="00004F40" w:rsidRDefault="00537043">
      <w:pPr>
        <w:spacing w:before="120"/>
        <w:rPr>
          <w:rFonts w:ascii="宋体" w:eastAsia="宋体" w:hAnsi="宋体" w:cs="宋体"/>
        </w:rPr>
      </w:pPr>
      <w:r>
        <w:rPr>
          <w:rFonts w:ascii="宋体" w:eastAsia="宋体" w:hAnsi="宋体" w:cs="宋体" w:hint="eastAsia"/>
        </w:rPr>
        <w:t>9.2.8 【家居智控】设置多种类、多功能的智能家居控制系统。本项最高得3分，并按下列规则评分：</w:t>
      </w:r>
    </w:p>
    <w:p w:rsidR="00004F40" w:rsidRDefault="00537043">
      <w:pPr>
        <w:spacing w:before="120"/>
        <w:rPr>
          <w:rFonts w:ascii="宋体" w:eastAsia="宋体" w:hAnsi="宋体" w:cs="宋体"/>
        </w:rPr>
      </w:pPr>
      <w:r>
        <w:rPr>
          <w:rFonts w:ascii="宋体" w:eastAsia="宋体" w:hAnsi="宋体" w:cs="宋体" w:hint="eastAsia"/>
        </w:rPr>
        <w:lastRenderedPageBreak/>
        <w:t>1）实现电动窗帘控制。本项满足得1分。本项最高得1分。</w:t>
      </w:r>
    </w:p>
    <w:p w:rsidR="00004F40" w:rsidRDefault="00537043">
      <w:pPr>
        <w:spacing w:before="120"/>
        <w:rPr>
          <w:rFonts w:ascii="宋体" w:eastAsia="宋体" w:hAnsi="宋体" w:cs="宋体"/>
        </w:rPr>
      </w:pPr>
      <w:r>
        <w:rPr>
          <w:rFonts w:ascii="宋体" w:eastAsia="宋体" w:hAnsi="宋体" w:cs="宋体" w:hint="eastAsia"/>
        </w:rPr>
        <w:t>2）通过转换协议网关与空调、新风、地暖等设备进行对接并控制，实现各房间、分区域环境智能管理、自动定时及手机远程控制。本项满足得1分。本项最高得1分。</w:t>
      </w:r>
    </w:p>
    <w:p w:rsidR="00004F40" w:rsidRDefault="00537043">
      <w:pPr>
        <w:spacing w:before="120"/>
        <w:rPr>
          <w:rFonts w:ascii="宋体" w:eastAsia="宋体" w:hAnsi="宋体" w:cs="宋体"/>
        </w:rPr>
      </w:pPr>
      <w:r>
        <w:rPr>
          <w:rFonts w:ascii="宋体" w:eastAsia="宋体" w:hAnsi="宋体" w:cs="宋体" w:hint="eastAsia"/>
        </w:rPr>
        <w:t>3）户内设置环境数据监测装置，实现主要活动空间的温湿度、空气质量及光照的采集、分析及显示。本项满足得1分。本项最高得1分。</w:t>
      </w:r>
    </w:p>
    <w:p w:rsidR="00004F40" w:rsidRDefault="00537043">
      <w:pPr>
        <w:spacing w:before="120"/>
        <w:rPr>
          <w:rFonts w:ascii="宋体" w:eastAsia="宋体" w:hAnsi="宋体" w:cs="宋体"/>
        </w:rPr>
      </w:pPr>
      <w:r>
        <w:rPr>
          <w:rFonts w:ascii="宋体" w:eastAsia="宋体" w:hAnsi="宋体" w:cs="宋体" w:hint="eastAsia"/>
        </w:rPr>
        <w:t>9.2.9 【数据安全】家居网络硬件及软件应考虑数据传输的安全。本项最高得2分，并按下列规则评分：</w:t>
      </w:r>
    </w:p>
    <w:p w:rsidR="00004F40" w:rsidRDefault="00537043">
      <w:pPr>
        <w:spacing w:before="120"/>
        <w:rPr>
          <w:rFonts w:ascii="宋体" w:eastAsia="宋体" w:hAnsi="宋体" w:cs="宋体"/>
        </w:rPr>
      </w:pPr>
      <w:r>
        <w:rPr>
          <w:rFonts w:ascii="宋体" w:eastAsia="宋体" w:hAnsi="宋体" w:cs="宋体" w:hint="eastAsia"/>
        </w:rPr>
        <w:t>1）户内路由设备支持WPA2或更完善的加密方式，支持针对特定MAC设备提供安全防护，支持防蹭网。本项满足得1分。本项最高得1分。</w:t>
      </w:r>
    </w:p>
    <w:p w:rsidR="00004F40" w:rsidRDefault="00537043">
      <w:pPr>
        <w:spacing w:before="120"/>
        <w:rPr>
          <w:rFonts w:ascii="宋体" w:eastAsia="宋体" w:hAnsi="宋体" w:cs="宋体"/>
        </w:rPr>
      </w:pPr>
      <w:r>
        <w:rPr>
          <w:rFonts w:ascii="宋体" w:eastAsia="宋体" w:hAnsi="宋体" w:cs="宋体" w:hint="eastAsia"/>
        </w:rPr>
        <w:t>2）全屋智能软件平台应支持全屋智能系统数据安全保护能力及防范被内部或外部入侵者获取的措施。本项满足得1分。本项最高得1分。</w:t>
      </w:r>
    </w:p>
    <w:p w:rsidR="00004F40" w:rsidRDefault="00537043">
      <w:pPr>
        <w:spacing w:before="120"/>
        <w:rPr>
          <w:rFonts w:ascii="宋体" w:eastAsia="宋体" w:hAnsi="宋体" w:cs="宋体"/>
        </w:rPr>
      </w:pPr>
      <w:r>
        <w:rPr>
          <w:rFonts w:ascii="宋体" w:eastAsia="宋体" w:hAnsi="宋体" w:cs="宋体" w:hint="eastAsia"/>
        </w:rPr>
        <w:t>9.2.10 【智慧交互】家居智能系统的交互方式包括开关面板、中控屏、智能音箱、移动控制面板、移动APP，系统实现至少三种场景控制方式。本项满足得1分。本项最高得1分。</w:t>
      </w:r>
    </w:p>
    <w:p w:rsidR="00004F40" w:rsidRDefault="00537043">
      <w:pPr>
        <w:spacing w:before="120"/>
        <w:rPr>
          <w:rFonts w:ascii="宋体" w:eastAsia="宋体" w:hAnsi="宋体" w:cs="宋体"/>
        </w:rPr>
      </w:pPr>
      <w:r>
        <w:rPr>
          <w:rFonts w:ascii="宋体" w:eastAsia="宋体" w:hAnsi="宋体" w:cs="宋体" w:hint="eastAsia"/>
        </w:rPr>
        <w:t>9.2.11 【线上服务】建设住区信息服务平台，实现设施设备管理、住户报修、物业信息发布、空气质量、水质检测、噪音检测、维护检修结果公示等功能。本项满足得2分。本项最高得2分。</w:t>
      </w:r>
    </w:p>
    <w:p w:rsidR="00004F40" w:rsidRDefault="00537043">
      <w:pPr>
        <w:spacing w:before="120"/>
        <w:rPr>
          <w:rFonts w:ascii="宋体" w:eastAsia="宋体" w:hAnsi="宋体" w:cs="宋体"/>
        </w:rPr>
      </w:pPr>
      <w:r>
        <w:rPr>
          <w:rFonts w:ascii="宋体" w:eastAsia="宋体" w:hAnsi="宋体" w:cs="宋体" w:hint="eastAsia"/>
        </w:rPr>
        <w:t>9.2.12 【BIM应用】项目采用BIM正向设计完成设计工作，应用BIM技术进行系统及专项设计优化、施工指导，并实现图模一致。本项满足得2分。本项最高得2分。</w:t>
      </w:r>
    </w:p>
    <w:p w:rsidR="00004F40" w:rsidRDefault="00537043">
      <w:pPr>
        <w:spacing w:before="120"/>
        <w:rPr>
          <w:rFonts w:ascii="宋体" w:eastAsia="宋体" w:hAnsi="宋体" w:cs="宋体"/>
        </w:rPr>
      </w:pPr>
      <w:r>
        <w:rPr>
          <w:rFonts w:ascii="宋体" w:eastAsia="宋体" w:hAnsi="宋体" w:cs="宋体" w:hint="eastAsia"/>
        </w:rPr>
        <w:t>9.2.13 【BIM应用】交付项目使用方的建筑信息模型可实现建筑内部主要管线（含隐蔽工程）、设备、机电末端点位的可视化展示。本项满足得1分。本项最高得1分。</w:t>
      </w:r>
    </w:p>
    <w:p w:rsidR="00004F40" w:rsidRDefault="00537043">
      <w:pPr>
        <w:pStyle w:val="2"/>
        <w:jc w:val="center"/>
      </w:pPr>
      <w:bookmarkStart w:id="24" w:name="_Toc1270547148"/>
      <w:r>
        <w:rPr>
          <w:rFonts w:ascii="宋体" w:eastAsia="宋体" w:hAnsi="宋体" w:cs="宋体"/>
          <w:sz w:val="24"/>
        </w:rPr>
        <w:t>9.3 加分项</w:t>
      </w:r>
      <w:bookmarkEnd w:id="24"/>
    </w:p>
    <w:p w:rsidR="00004F40" w:rsidRDefault="00537043">
      <w:pPr>
        <w:spacing w:before="120"/>
        <w:rPr>
          <w:rFonts w:ascii="宋体" w:eastAsia="宋体" w:hAnsi="宋体" w:cs="宋体"/>
        </w:rPr>
      </w:pPr>
      <w:r>
        <w:rPr>
          <w:rFonts w:ascii="宋体" w:eastAsia="宋体" w:hAnsi="宋体" w:cs="宋体" w:hint="eastAsia"/>
        </w:rPr>
        <w:t>9.3.1 【家居智控】采用门窗智能控制系统实现窗户无线遥控、APP控制、面板控制、风雨感应控制、环境参数联动控制等功能。本项满足得1分。窗户采用智能调光玻璃，实现自由调节光线通透效果。本项满足得1分。本项最高得2分。</w:t>
      </w:r>
    </w:p>
    <w:p w:rsidR="00004F40" w:rsidRDefault="00537043">
      <w:pPr>
        <w:spacing w:before="120"/>
        <w:rPr>
          <w:rFonts w:ascii="宋体" w:eastAsia="宋体" w:hAnsi="宋体" w:cs="宋体"/>
        </w:rPr>
      </w:pPr>
      <w:r>
        <w:rPr>
          <w:rFonts w:ascii="宋体" w:eastAsia="宋体" w:hAnsi="宋体" w:cs="宋体" w:hint="eastAsia"/>
        </w:rPr>
        <w:t>9.3.2 【家居智控】户内设置智能玻璃显示技术的大面积镜面，通过触摸、语音等交互方式实现娱乐资讯、信息查询、健康数据管理、智能家居控制等功能。本项满足得1分。本项最高得1分。</w:t>
      </w:r>
    </w:p>
    <w:p w:rsidR="00004F40" w:rsidRDefault="00537043">
      <w:pPr>
        <w:spacing w:before="120"/>
        <w:rPr>
          <w:rFonts w:ascii="宋体" w:eastAsia="宋体" w:hAnsi="宋体" w:cs="宋体"/>
        </w:rPr>
      </w:pPr>
      <w:r>
        <w:rPr>
          <w:rFonts w:ascii="宋体" w:eastAsia="宋体" w:hAnsi="宋体" w:cs="宋体" w:hint="eastAsia"/>
        </w:rPr>
        <w:t>9.3.3 【家居智控】户内提供个性化、多样化的智能家居系统、定制家具和装修方案等定制化服务，满足消费者的多元化需求，提升住宅居住品质。本项满足得1分。本项最高得</w:t>
      </w:r>
      <w:r>
        <w:rPr>
          <w:rFonts w:ascii="宋体" w:eastAsia="宋体" w:hAnsi="宋体" w:cs="宋体" w:hint="eastAsia"/>
        </w:rPr>
        <w:lastRenderedPageBreak/>
        <w:t>1分。</w:t>
      </w:r>
    </w:p>
    <w:p w:rsidR="00004F40" w:rsidRDefault="00537043">
      <w:pPr>
        <w:spacing w:before="120"/>
        <w:rPr>
          <w:rFonts w:ascii="宋体" w:eastAsia="宋体" w:hAnsi="宋体" w:cs="宋体"/>
        </w:rPr>
      </w:pPr>
      <w:r>
        <w:rPr>
          <w:rFonts w:ascii="宋体" w:eastAsia="宋体" w:hAnsi="宋体" w:cs="宋体" w:hint="eastAsia"/>
        </w:rPr>
        <w:t>9.3.4 【适老应用】住宅户内配置适老化及健康应用设备，实现居家老人行为监测、体征监测。本项最高得2分，并按下列规则评分：</w:t>
      </w:r>
    </w:p>
    <w:p w:rsidR="00004F40" w:rsidRDefault="00537043">
      <w:pPr>
        <w:spacing w:before="120"/>
        <w:rPr>
          <w:rFonts w:ascii="宋体" w:eastAsia="宋体" w:hAnsi="宋体" w:cs="宋体"/>
        </w:rPr>
      </w:pPr>
      <w:r>
        <w:rPr>
          <w:rFonts w:ascii="宋体" w:eastAsia="宋体" w:hAnsi="宋体" w:cs="宋体" w:hint="eastAsia"/>
        </w:rPr>
        <w:t>1）户内各主要场所配备智能检测传感器实现老人跌倒检测功能，并对家庭成员实时消息推送和报警。本项满足得1分。本项最高得1分。</w:t>
      </w:r>
    </w:p>
    <w:p w:rsidR="00004F40" w:rsidRDefault="00537043">
      <w:pPr>
        <w:spacing w:before="120"/>
        <w:rPr>
          <w:rFonts w:ascii="宋体" w:eastAsia="宋体" w:hAnsi="宋体" w:cs="宋体"/>
        </w:rPr>
      </w:pPr>
      <w:r>
        <w:rPr>
          <w:rFonts w:ascii="宋体" w:eastAsia="宋体" w:hAnsi="宋体" w:cs="宋体" w:hint="eastAsia"/>
        </w:rPr>
        <w:t>2）配备针对高血压、心脏病、糖尿病等常见慢病的智能体征监测设备，可进行健康预警与干预。本项满足得1分。本项最高得1分。</w:t>
      </w:r>
    </w:p>
    <w:p w:rsidR="00004F40" w:rsidRDefault="00537043">
      <w:pPr>
        <w:spacing w:before="120"/>
        <w:rPr>
          <w:rFonts w:ascii="宋体" w:eastAsia="宋体" w:hAnsi="宋体" w:cs="宋体"/>
        </w:rPr>
      </w:pPr>
      <w:r>
        <w:rPr>
          <w:rFonts w:ascii="宋体" w:eastAsia="宋体" w:hAnsi="宋体" w:cs="宋体" w:hint="eastAsia"/>
        </w:rPr>
        <w:t xml:space="preserve">9.3.5 【能耗管理】户内配电箱设置智能断路器，支持检测全屋电路，功率过载、短路等异常情况触发自动断路及报警联动。本项满足得1分。客厅、厨房、卧室等处配置智能插座，支持远程操控、定时开关、电量统计等功能。本项满足得1分。本项最高得2分。 </w:t>
      </w:r>
    </w:p>
    <w:p w:rsidR="00004F40" w:rsidRDefault="00537043">
      <w:pPr>
        <w:spacing w:before="120"/>
        <w:rPr>
          <w:rFonts w:ascii="宋体" w:eastAsia="宋体" w:hAnsi="宋体" w:cs="宋体"/>
        </w:rPr>
      </w:pPr>
      <w:r>
        <w:rPr>
          <w:rFonts w:ascii="宋体" w:eastAsia="宋体" w:hAnsi="宋体" w:cs="宋体" w:hint="eastAsia"/>
        </w:rPr>
        <w:t>9.3.6 【线上服务】建设完善智慧物业管理、智慧社区信息系统以及社会专业服务等平台，提升政务服务和社会化服务智慧化水平，实现线上申办社会保障、医疗健康、公共教育、劳动就业、民政服务、物业缴费、家政服务、养老服务、租赁服务、快递配送服务、邻里互动、社区商场等便民服务功能。本项满足得2分。本项最高得2分。</w:t>
      </w:r>
    </w:p>
    <w:p w:rsidR="00004F40" w:rsidRDefault="00537043">
      <w:pPr>
        <w:spacing w:before="120"/>
        <w:rPr>
          <w:rFonts w:ascii="宋体" w:eastAsia="宋体" w:hAnsi="宋体" w:cs="宋体"/>
        </w:rPr>
      </w:pPr>
      <w:r>
        <w:rPr>
          <w:rFonts w:ascii="宋体" w:eastAsia="宋体" w:hAnsi="宋体" w:cs="宋体" w:hint="eastAsia"/>
        </w:rPr>
        <w:t>9.3.7 【BIM应用】支持线上可视化看房，通过建筑信息模型实现精装交楼标准的可视化展示。本项满足得1分。本项最高得1分。</w:t>
      </w:r>
    </w:p>
    <w:p w:rsidR="00004F40" w:rsidRDefault="00004F40">
      <w:pPr>
        <w:spacing w:before="120"/>
      </w:pPr>
    </w:p>
    <w:p w:rsidR="00004F40" w:rsidRDefault="00004F40">
      <w:pPr>
        <w:snapToGrid/>
        <w:spacing w:before="120"/>
      </w:pPr>
    </w:p>
    <w:p w:rsidR="00004F40" w:rsidRDefault="00004F40">
      <w:pPr>
        <w:spacing w:before="120"/>
      </w:pPr>
    </w:p>
    <w:p w:rsidR="00004F40" w:rsidRDefault="00537043">
      <w:pPr>
        <w:spacing w:before="120"/>
        <w:rPr>
          <w:rFonts w:ascii="黑体" w:eastAsia="黑体" w:hAnsi="黑体" w:cs="黑体"/>
          <w:sz w:val="28"/>
        </w:rPr>
      </w:pPr>
      <w:r>
        <w:rPr>
          <w:rFonts w:ascii="黑体" w:eastAsia="黑体" w:hAnsi="黑体" w:cs="黑体"/>
          <w:sz w:val="28"/>
        </w:rPr>
        <w:br w:type="page"/>
      </w:r>
    </w:p>
    <w:p w:rsidR="00004F40" w:rsidRDefault="00537043">
      <w:pPr>
        <w:pStyle w:val="10"/>
        <w:spacing w:before="340" w:after="330" w:line="576" w:lineRule="auto"/>
        <w:ind w:left="540" w:hanging="540"/>
        <w:jc w:val="center"/>
      </w:pPr>
      <w:bookmarkStart w:id="25" w:name="_Toc1451471241"/>
      <w:r>
        <w:rPr>
          <w:rFonts w:ascii="黑体" w:eastAsia="黑体" w:hAnsi="黑体" w:cs="黑体"/>
          <w:sz w:val="28"/>
        </w:rPr>
        <w:lastRenderedPageBreak/>
        <w:t>10   运营与维护</w:t>
      </w:r>
      <w:bookmarkEnd w:id="25"/>
    </w:p>
    <w:p w:rsidR="00004F40" w:rsidRDefault="00537043">
      <w:pPr>
        <w:pStyle w:val="2"/>
        <w:jc w:val="center"/>
      </w:pPr>
      <w:bookmarkStart w:id="26" w:name="_Toc828642491"/>
      <w:r>
        <w:rPr>
          <w:rFonts w:ascii="宋体" w:eastAsia="宋体" w:hAnsi="宋体" w:cs="宋体"/>
          <w:sz w:val="24"/>
        </w:rPr>
        <w:t>10.1控制项</w:t>
      </w:r>
      <w:bookmarkEnd w:id="26"/>
    </w:p>
    <w:p w:rsidR="00004F40" w:rsidRDefault="00537043">
      <w:pPr>
        <w:spacing w:before="120"/>
        <w:rPr>
          <w:rFonts w:ascii="宋体" w:eastAsia="宋体" w:hAnsi="宋体" w:cs="宋体"/>
        </w:rPr>
      </w:pPr>
      <w:r>
        <w:rPr>
          <w:rFonts w:ascii="宋体" w:eastAsia="宋体" w:hAnsi="宋体" w:cs="宋体" w:hint="eastAsia"/>
        </w:rPr>
        <w:t>10.1.1【维护检修便利性】住宅建筑的各类管线和室外设备应尽量集中设置、便于检修，并应设置检修防坠落措施，并符合以下要求：</w:t>
      </w:r>
    </w:p>
    <w:p w:rsidR="00004F40" w:rsidRDefault="00537043">
      <w:pPr>
        <w:spacing w:before="120"/>
        <w:rPr>
          <w:rFonts w:ascii="宋体" w:eastAsia="宋体" w:hAnsi="宋体" w:cs="宋体"/>
        </w:rPr>
      </w:pPr>
      <w:r>
        <w:rPr>
          <w:rFonts w:ascii="宋体" w:eastAsia="宋体" w:hAnsi="宋体" w:cs="宋体" w:hint="eastAsia"/>
        </w:rPr>
        <w:t>1)  外墙及室内的竖向立管、管井、空调室外机应设置在易于从公共空间或室内空间安全到达和安全地进行检修维护的位置，不上人屋面应在公共空间可安全到达并设置安全挂钩。</w:t>
      </w:r>
    </w:p>
    <w:p w:rsidR="00004F40" w:rsidRDefault="00537043">
      <w:pPr>
        <w:spacing w:before="120"/>
        <w:rPr>
          <w:rFonts w:ascii="宋体" w:eastAsia="宋体" w:hAnsi="宋体" w:cs="宋体"/>
        </w:rPr>
      </w:pPr>
      <w:r>
        <w:rPr>
          <w:rFonts w:ascii="宋体" w:eastAsia="宋体" w:hAnsi="宋体" w:cs="宋体" w:hint="eastAsia"/>
        </w:rPr>
        <w:t>2)  户内的各类管线、地漏和设施的检修口应满足在本层、本户内检修的要求。</w:t>
      </w:r>
    </w:p>
    <w:p w:rsidR="00004F40" w:rsidRDefault="00537043">
      <w:pPr>
        <w:spacing w:before="120"/>
        <w:rPr>
          <w:rFonts w:ascii="宋体" w:eastAsia="宋体" w:hAnsi="宋体" w:cs="宋体"/>
        </w:rPr>
      </w:pPr>
      <w:r>
        <w:rPr>
          <w:rFonts w:ascii="宋体" w:eastAsia="宋体" w:hAnsi="宋体" w:cs="宋体" w:hint="eastAsia"/>
        </w:rPr>
        <w:t>3)  带水管线不得在混凝土结构中预埋。</w:t>
      </w:r>
    </w:p>
    <w:p w:rsidR="00004F40" w:rsidRDefault="00537043">
      <w:pPr>
        <w:spacing w:before="120"/>
        <w:rPr>
          <w:rFonts w:ascii="宋体" w:eastAsia="宋体" w:hAnsi="宋体" w:cs="宋体"/>
        </w:rPr>
      </w:pPr>
      <w:r>
        <w:rPr>
          <w:rFonts w:ascii="宋体" w:eastAsia="宋体" w:hAnsi="宋体" w:cs="宋体" w:hint="eastAsia"/>
        </w:rPr>
        <w:t>10.1.2 【维护检修便利性】住宅建筑首层和居住楼层的横向公共管线均不应穿越户内空间。</w:t>
      </w:r>
    </w:p>
    <w:p w:rsidR="00004F40" w:rsidRDefault="00537043">
      <w:pPr>
        <w:pStyle w:val="1"/>
        <w:spacing w:before="120"/>
      </w:pPr>
      <w:r>
        <w:rPr>
          <w:rFonts w:ascii="宋体" w:hAnsi="宋体" w:cs="宋体" w:hint="eastAsia"/>
        </w:rPr>
        <w:t>10.1.3【使用安全保障】不得擅自改变住宅项目中涉及到公共利益和安全的边界、空间、结构构件、设备、设施等。</w:t>
      </w:r>
    </w:p>
    <w:p w:rsidR="00004F40" w:rsidRDefault="00004F40">
      <w:pPr>
        <w:spacing w:before="120"/>
      </w:pPr>
    </w:p>
    <w:p w:rsidR="00004F40" w:rsidRDefault="00537043">
      <w:pPr>
        <w:pStyle w:val="2"/>
        <w:jc w:val="center"/>
      </w:pPr>
      <w:bookmarkStart w:id="27" w:name="_Toc1210933126"/>
      <w:r>
        <w:rPr>
          <w:rFonts w:ascii="宋体" w:eastAsia="宋体" w:hAnsi="宋体" w:cs="宋体"/>
          <w:sz w:val="24"/>
        </w:rPr>
        <w:t>10.2 得分项</w:t>
      </w:r>
      <w:bookmarkEnd w:id="27"/>
    </w:p>
    <w:p w:rsidR="00004F40" w:rsidRDefault="00537043">
      <w:pPr>
        <w:spacing w:before="120"/>
        <w:rPr>
          <w:rFonts w:ascii="宋体" w:eastAsia="宋体" w:hAnsi="宋体" w:cs="宋体"/>
        </w:rPr>
      </w:pPr>
      <w:r>
        <w:rPr>
          <w:rFonts w:ascii="宋体" w:eastAsia="宋体" w:hAnsi="宋体" w:cs="宋体" w:hint="eastAsia"/>
        </w:rPr>
        <w:t>10.2.1 【维护管理】划分部品部件的耐久年限等级，制定维护维修计划。本项满足得1分。本项最高得1分。</w:t>
      </w:r>
    </w:p>
    <w:p w:rsidR="00004F40" w:rsidRDefault="00537043">
      <w:pPr>
        <w:spacing w:before="120"/>
        <w:rPr>
          <w:rFonts w:ascii="宋体" w:eastAsia="宋体" w:hAnsi="宋体" w:cs="宋体"/>
        </w:rPr>
      </w:pPr>
      <w:r>
        <w:rPr>
          <w:rFonts w:ascii="宋体" w:eastAsia="宋体" w:hAnsi="宋体" w:cs="宋体" w:hint="eastAsia"/>
        </w:rPr>
        <w:t>10.2.2 【维护检修便利性】室外空调机、外窗、外墙等应设置用于安装和日常清洁、维护的安全设施。本项最高得3分。</w:t>
      </w:r>
    </w:p>
    <w:p w:rsidR="00004F40" w:rsidRDefault="00537043">
      <w:pPr>
        <w:spacing w:before="120"/>
        <w:rPr>
          <w:rFonts w:ascii="宋体" w:eastAsia="宋体" w:hAnsi="宋体" w:cs="宋体"/>
        </w:rPr>
      </w:pPr>
      <w:r>
        <w:rPr>
          <w:rFonts w:ascii="宋体" w:eastAsia="宋体" w:hAnsi="宋体" w:cs="宋体" w:hint="eastAsia"/>
        </w:rPr>
        <w:t>1)  屋面设置挂安全栏、安全吊绳的埋件、挂勾等设施，或者设置擦窗机轨道及设备。本项满足得1分。本项最高得1分。</w:t>
      </w:r>
    </w:p>
    <w:p w:rsidR="00004F40" w:rsidRDefault="00537043">
      <w:pPr>
        <w:spacing w:before="120"/>
        <w:rPr>
          <w:rFonts w:ascii="宋体" w:eastAsia="宋体" w:hAnsi="宋体" w:cs="宋体"/>
        </w:rPr>
      </w:pPr>
      <w:r>
        <w:rPr>
          <w:rFonts w:ascii="宋体" w:eastAsia="宋体" w:hAnsi="宋体" w:cs="宋体" w:hint="eastAsia"/>
        </w:rPr>
        <w:t>2)  外侧设置空调机位的阳台、开启窗扇内侧设置空调室外机室内安装窗洞口，或者在阳台、开启窗扇内侧设置挂安全吊绳的埋件、挂勾等设施。本项满足得1分。本项最高得1分。</w:t>
      </w:r>
    </w:p>
    <w:p w:rsidR="00004F40" w:rsidRDefault="00537043">
      <w:pPr>
        <w:spacing w:before="120"/>
        <w:rPr>
          <w:rFonts w:ascii="宋体" w:eastAsia="宋体" w:hAnsi="宋体" w:cs="宋体"/>
        </w:rPr>
      </w:pPr>
      <w:r>
        <w:rPr>
          <w:rFonts w:ascii="宋体" w:eastAsia="宋体" w:hAnsi="宋体" w:cs="宋体" w:hint="eastAsia"/>
        </w:rPr>
        <w:t>3)  外窗构造应满足室内更换玻璃的需求，外窗玻璃尺寸宜结合所采用的电梯轿厢尺寸进行设计。本项满足得1分。本项最高得1分。</w:t>
      </w:r>
    </w:p>
    <w:p w:rsidR="00004F40" w:rsidRDefault="00537043">
      <w:pPr>
        <w:spacing w:before="120"/>
        <w:rPr>
          <w:rFonts w:ascii="宋体" w:eastAsia="宋体" w:hAnsi="宋体" w:cs="宋体"/>
        </w:rPr>
      </w:pPr>
      <w:r>
        <w:rPr>
          <w:rFonts w:ascii="宋体" w:eastAsia="宋体" w:hAnsi="宋体" w:cs="宋体" w:hint="eastAsia"/>
        </w:rPr>
        <w:t>10.2.3 【维护检修便利性】卫生间、厨房、首层管廊等走管的沉箱不采用混凝土或其他</w:t>
      </w:r>
      <w:r>
        <w:rPr>
          <w:rFonts w:ascii="宋体" w:eastAsia="宋体" w:hAnsi="宋体" w:cs="宋体" w:hint="eastAsia"/>
        </w:rPr>
        <w:lastRenderedPageBreak/>
        <w:t>可能对日后管线维修保养造成妨碍的类似物料回填。采用架空做法，或便于开挖的轻质材料回填。本项满足得1分。本项最高得1分。</w:t>
      </w:r>
    </w:p>
    <w:p w:rsidR="00004F40" w:rsidRDefault="00537043">
      <w:pPr>
        <w:spacing w:before="120"/>
        <w:rPr>
          <w:rFonts w:ascii="宋体" w:eastAsia="宋体" w:hAnsi="宋体" w:cs="宋体"/>
        </w:rPr>
      </w:pPr>
      <w:r>
        <w:rPr>
          <w:rFonts w:ascii="宋体" w:eastAsia="宋体" w:hAnsi="宋体" w:cs="宋体" w:hint="eastAsia"/>
        </w:rPr>
        <w:t>10.2.4 【维护检修便利性】具备工程项目材料备品清单，随项目竣工验收移交建设单位或物业管理单位。本项满足得得1分。本项最高得1分。</w:t>
      </w:r>
    </w:p>
    <w:p w:rsidR="00004F40" w:rsidRDefault="00537043">
      <w:pPr>
        <w:spacing w:before="120"/>
        <w:rPr>
          <w:rFonts w:ascii="宋体" w:eastAsia="宋体" w:hAnsi="宋体" w:cs="宋体"/>
        </w:rPr>
      </w:pPr>
      <w:r>
        <w:rPr>
          <w:rFonts w:ascii="宋体" w:eastAsia="宋体" w:hAnsi="宋体" w:cs="宋体" w:hint="eastAsia"/>
        </w:rPr>
        <w:t>10.2.5 【运营管理】制定物业管理计划，加强对二次装修的管理与监督，地下车库定期（每季度）冲洗，室内外定期（每月）进行消杀灭虫害处理，定期（每年不少于1次）清洁外墙。本项满足得2分。本项最高得2分。</w:t>
      </w:r>
    </w:p>
    <w:p w:rsidR="00004F40" w:rsidRDefault="00537043">
      <w:pPr>
        <w:spacing w:before="120"/>
        <w:rPr>
          <w:rFonts w:ascii="宋体" w:eastAsia="宋体" w:hAnsi="宋体" w:cs="宋体"/>
        </w:rPr>
      </w:pPr>
      <w:r>
        <w:rPr>
          <w:rFonts w:ascii="宋体" w:eastAsia="宋体" w:hAnsi="宋体" w:cs="宋体" w:hint="eastAsia"/>
        </w:rPr>
        <w:t>10.2.6 【运营管理】住区内景观水池有过滤设施，兼顾丰旱状态，避免滋生蚊虫和蛙类。本项满足得1分。本项最高得1分。</w:t>
      </w:r>
    </w:p>
    <w:p w:rsidR="00004F40" w:rsidRDefault="00537043">
      <w:pPr>
        <w:spacing w:before="120"/>
        <w:rPr>
          <w:rFonts w:ascii="宋体" w:eastAsia="宋体" w:hAnsi="宋体" w:cs="宋体"/>
        </w:rPr>
      </w:pPr>
      <w:r>
        <w:rPr>
          <w:rFonts w:ascii="宋体" w:eastAsia="宋体" w:hAnsi="宋体" w:cs="宋体" w:hint="eastAsia"/>
        </w:rPr>
        <w:t>10.2.7 【运营管理】定期向业主提供空气质量、水质检测、维护检修结果公示等信息。本项满足得1分。本项最高得1分。</w:t>
      </w:r>
    </w:p>
    <w:p w:rsidR="00004F40" w:rsidRDefault="00537043">
      <w:pPr>
        <w:pStyle w:val="2"/>
        <w:jc w:val="center"/>
      </w:pPr>
      <w:bookmarkStart w:id="28" w:name="_Toc1543349631"/>
      <w:r>
        <w:rPr>
          <w:rFonts w:ascii="宋体" w:eastAsia="宋体" w:hAnsi="宋体" w:cs="宋体"/>
          <w:sz w:val="24"/>
        </w:rPr>
        <w:t>10.3 加分项</w:t>
      </w:r>
      <w:bookmarkEnd w:id="28"/>
    </w:p>
    <w:p w:rsidR="00004F40" w:rsidRDefault="00537043">
      <w:pPr>
        <w:spacing w:before="120"/>
        <w:rPr>
          <w:rFonts w:ascii="宋体" w:eastAsia="宋体" w:hAnsi="宋体" w:cs="宋体"/>
        </w:rPr>
      </w:pPr>
      <w:r>
        <w:rPr>
          <w:rFonts w:ascii="宋体" w:eastAsia="宋体" w:hAnsi="宋体" w:cs="宋体" w:hint="eastAsia"/>
        </w:rPr>
        <w:t>10.3.1 【运营管理】住区物业服务取得《广州市住宅小区物业服务标准等级评价一级证书》。本项满足得1分。本项最高得1分。</w:t>
      </w:r>
    </w:p>
    <w:p w:rsidR="00004F40" w:rsidRDefault="00537043">
      <w:pPr>
        <w:spacing w:before="120"/>
        <w:rPr>
          <w:rFonts w:ascii="宋体" w:eastAsia="宋体" w:hAnsi="宋体" w:cs="宋体"/>
        </w:rPr>
      </w:pPr>
      <w:r>
        <w:rPr>
          <w:rFonts w:ascii="宋体" w:eastAsia="宋体" w:hAnsi="宋体" w:cs="宋体" w:hint="eastAsia"/>
        </w:rPr>
        <w:t>10.3.2 【运营管理】延长质量保修年限，延长6个月。本项满足得0.5分。延长12个月。本项满足得1分。本项最高得1分。</w:t>
      </w:r>
    </w:p>
    <w:p w:rsidR="00004F40" w:rsidRDefault="00537043">
      <w:pPr>
        <w:spacing w:before="120"/>
        <w:rPr>
          <w:rFonts w:ascii="宋体" w:eastAsia="宋体" w:hAnsi="宋体" w:cs="宋体"/>
        </w:rPr>
      </w:pPr>
      <w:r>
        <w:rPr>
          <w:rFonts w:ascii="宋体" w:eastAsia="宋体" w:hAnsi="宋体" w:cs="宋体" w:hint="eastAsia"/>
        </w:rPr>
        <w:t>10.3.3【运营保险】</w:t>
      </w:r>
      <w:r>
        <w:rPr>
          <w:rFonts w:hint="eastAsia"/>
        </w:rPr>
        <w:t>投保绿色建筑运营险、物业责任险等，以保险风险管理服务方式落实绿色建筑运营保障。</w:t>
      </w:r>
      <w:r>
        <w:rPr>
          <w:rFonts w:ascii="宋体" w:eastAsia="宋体" w:hAnsi="宋体" w:cs="宋体" w:hint="eastAsia"/>
        </w:rPr>
        <w:t>本项满足得2分。本项最高得2分。</w:t>
      </w:r>
    </w:p>
    <w:p w:rsidR="00004F40" w:rsidRDefault="00004F40">
      <w:pPr>
        <w:pStyle w:val="1"/>
        <w:spacing w:before="120"/>
      </w:pPr>
    </w:p>
    <w:p w:rsidR="00004F40" w:rsidRDefault="00004F40">
      <w:pPr>
        <w:snapToGrid/>
        <w:spacing w:before="120"/>
      </w:pPr>
    </w:p>
    <w:p w:rsidR="00004F40" w:rsidRDefault="00004F40">
      <w:pPr>
        <w:spacing w:before="120"/>
      </w:pPr>
    </w:p>
    <w:p w:rsidR="00004F40" w:rsidRDefault="00537043">
      <w:pPr>
        <w:spacing w:before="120"/>
        <w:rPr>
          <w:rFonts w:ascii="黑体" w:eastAsia="黑体" w:hAnsi="黑体" w:cs="黑体"/>
          <w:sz w:val="28"/>
        </w:rPr>
      </w:pPr>
      <w:r>
        <w:rPr>
          <w:rFonts w:ascii="黑体" w:eastAsia="黑体" w:hAnsi="黑体" w:cs="黑体"/>
          <w:sz w:val="28"/>
        </w:rPr>
        <w:br w:type="page"/>
      </w:r>
    </w:p>
    <w:p w:rsidR="00004F40" w:rsidRDefault="00537043">
      <w:pPr>
        <w:pStyle w:val="10"/>
        <w:rPr>
          <w:rFonts w:eastAsia="黑体"/>
        </w:rPr>
      </w:pPr>
      <w:bookmarkStart w:id="29" w:name="_Toc531692500"/>
      <w:r>
        <w:rPr>
          <w:rFonts w:ascii="黑体" w:eastAsia="黑体" w:hAnsi="黑体" w:cs="黑体"/>
          <w:sz w:val="28"/>
        </w:rPr>
        <w:lastRenderedPageBreak/>
        <w:t>附录1 “智慧+品质”住宅评价标准得分表</w:t>
      </w:r>
      <w:r>
        <w:rPr>
          <w:rFonts w:ascii="黑体" w:eastAsia="黑体" w:hAnsi="黑体" w:cs="黑体" w:hint="eastAsia"/>
          <w:sz w:val="28"/>
        </w:rPr>
        <w:t>（见后）</w:t>
      </w:r>
      <w:bookmarkEnd w:id="29"/>
    </w:p>
    <w:p w:rsidR="00004F40" w:rsidRDefault="00004F40">
      <w:pPr>
        <w:spacing w:before="120"/>
      </w:pPr>
    </w:p>
    <w:p w:rsidR="00004F40" w:rsidRDefault="00004F40">
      <w:pPr>
        <w:spacing w:before="120"/>
      </w:pPr>
    </w:p>
    <w:p w:rsidR="00004F40" w:rsidRDefault="00004F40">
      <w:pPr>
        <w:spacing w:before="120"/>
      </w:pPr>
    </w:p>
    <w:p w:rsidR="00004F40" w:rsidRDefault="00004F40">
      <w:pPr>
        <w:spacing w:before="120"/>
      </w:pPr>
    </w:p>
    <w:p w:rsidR="00004F40" w:rsidRDefault="00004F40">
      <w:pPr>
        <w:spacing w:before="120"/>
      </w:pPr>
    </w:p>
    <w:p w:rsidR="00004F40" w:rsidRDefault="00004F40">
      <w:pPr>
        <w:spacing w:before="120"/>
      </w:pPr>
    </w:p>
    <w:p w:rsidR="00004F40" w:rsidRDefault="00004F40">
      <w:pPr>
        <w:spacing w:before="120"/>
      </w:pPr>
    </w:p>
    <w:p w:rsidR="00004F40" w:rsidRDefault="00004F40">
      <w:pPr>
        <w:spacing w:before="120"/>
      </w:pPr>
    </w:p>
    <w:p w:rsidR="00004F40" w:rsidRDefault="00004F40">
      <w:pPr>
        <w:spacing w:before="120"/>
      </w:pPr>
    </w:p>
    <w:p w:rsidR="00004F40" w:rsidRDefault="00004F40">
      <w:pPr>
        <w:spacing w:before="120"/>
      </w:pPr>
    </w:p>
    <w:p w:rsidR="00004F40" w:rsidRDefault="00004F40">
      <w:pPr>
        <w:spacing w:before="120"/>
      </w:pPr>
    </w:p>
    <w:p w:rsidR="00004F40" w:rsidRDefault="00004F40">
      <w:pPr>
        <w:spacing w:before="120"/>
      </w:pPr>
    </w:p>
    <w:p w:rsidR="00004F40" w:rsidRDefault="00004F40">
      <w:pPr>
        <w:spacing w:before="120"/>
      </w:pPr>
    </w:p>
    <w:p w:rsidR="00004F40" w:rsidRDefault="00004F40">
      <w:pPr>
        <w:spacing w:before="120"/>
      </w:pPr>
    </w:p>
    <w:p w:rsidR="00004F40" w:rsidRDefault="00004F40">
      <w:pPr>
        <w:spacing w:before="120"/>
      </w:pPr>
    </w:p>
    <w:p w:rsidR="00004F40" w:rsidRDefault="00004F40">
      <w:pPr>
        <w:spacing w:before="120"/>
      </w:pPr>
    </w:p>
    <w:p w:rsidR="00004F40" w:rsidRDefault="00004F40">
      <w:pPr>
        <w:spacing w:before="120"/>
      </w:pPr>
    </w:p>
    <w:p w:rsidR="00004F40" w:rsidRDefault="00004F40">
      <w:pPr>
        <w:spacing w:before="120"/>
      </w:pPr>
    </w:p>
    <w:p w:rsidR="00004F40" w:rsidRDefault="00537043">
      <w:pPr>
        <w:spacing w:before="120"/>
        <w:rPr>
          <w:rFonts w:ascii="黑体" w:eastAsia="黑体" w:hAnsi="黑体" w:cs="黑体"/>
          <w:sz w:val="28"/>
        </w:rPr>
      </w:pPr>
      <w:r>
        <w:rPr>
          <w:rFonts w:ascii="黑体" w:eastAsia="黑体" w:hAnsi="黑体" w:cs="黑体"/>
          <w:sz w:val="28"/>
        </w:rPr>
        <w:br w:type="page"/>
      </w:r>
    </w:p>
    <w:p w:rsidR="00004F40" w:rsidRDefault="00537043">
      <w:pPr>
        <w:pStyle w:val="10"/>
        <w:rPr>
          <w:rFonts w:ascii="黑体" w:eastAsia="黑体" w:hAnsi="黑体" w:cs="黑体"/>
          <w:sz w:val="28"/>
        </w:rPr>
      </w:pPr>
      <w:bookmarkStart w:id="30" w:name="_Toc1633260191"/>
      <w:r>
        <w:rPr>
          <w:rFonts w:ascii="黑体" w:eastAsia="黑体" w:hAnsi="黑体" w:cs="黑体" w:hint="eastAsia"/>
          <w:sz w:val="28"/>
        </w:rPr>
        <w:lastRenderedPageBreak/>
        <w:t xml:space="preserve">附录2 </w:t>
      </w:r>
      <w:r>
        <w:rPr>
          <w:rFonts w:ascii="黑体" w:eastAsia="黑体" w:hAnsi="黑体" w:cs="黑体"/>
          <w:sz w:val="28"/>
        </w:rPr>
        <w:t>“智慧+品质”住宅建设承诺书</w:t>
      </w:r>
      <w:bookmarkEnd w:id="30"/>
    </w:p>
    <w:p w:rsidR="00004F40" w:rsidRDefault="00537043">
      <w:pPr>
        <w:spacing w:before="120"/>
      </w:pPr>
      <w:r>
        <w:rPr>
          <w:rFonts w:ascii="黑体" w:eastAsia="黑体" w:hAnsi="黑体" w:cs="黑体"/>
          <w:b/>
          <w:sz w:val="28"/>
        </w:rPr>
        <w:t xml:space="preserve">  </w:t>
      </w:r>
    </w:p>
    <w:p w:rsidR="00004F40" w:rsidRDefault="00537043">
      <w:pPr>
        <w:spacing w:before="120"/>
        <w:jc w:val="center"/>
      </w:pPr>
      <w:r>
        <w:rPr>
          <w:rFonts w:ascii="黑体" w:eastAsia="黑体" w:hAnsi="黑体" w:cs="黑体"/>
          <w:b/>
          <w:sz w:val="28"/>
        </w:rPr>
        <w:t>“智慧+品质”住宅建设承诺书</w:t>
      </w:r>
    </w:p>
    <w:p w:rsidR="00004F40" w:rsidRDefault="00537043">
      <w:pPr>
        <w:spacing w:before="120"/>
        <w:ind w:firstLineChars="200" w:firstLine="640"/>
      </w:pPr>
      <w:r>
        <w:rPr>
          <w:rFonts w:ascii="仿宋_GB2312" w:eastAsia="仿宋_GB2312" w:hAnsi="仿宋_GB2312" w:cs="仿宋_GB2312"/>
          <w:sz w:val="32"/>
        </w:rPr>
        <w:t>我公司竞得</w:t>
      </w:r>
      <w:r>
        <w:rPr>
          <w:rFonts w:ascii="仿宋_GB2312" w:eastAsia="仿宋_GB2312" w:hAnsi="仿宋_GB2312" w:cs="仿宋_GB2312"/>
          <w:sz w:val="32"/>
          <w:u w:val="single"/>
        </w:rPr>
        <w:t xml:space="preserve">           </w:t>
      </w:r>
      <w:r>
        <w:rPr>
          <w:rFonts w:ascii="仿宋_GB2312" w:eastAsia="仿宋_GB2312" w:hAnsi="仿宋_GB2312" w:cs="仿宋_GB2312"/>
          <w:sz w:val="32"/>
        </w:rPr>
        <w:t>用地（文件编号：</w:t>
      </w:r>
      <w:r>
        <w:rPr>
          <w:rFonts w:ascii="仿宋_GB2312" w:eastAsia="仿宋_GB2312" w:hAnsi="仿宋_GB2312" w:cs="仿宋_GB2312"/>
          <w:sz w:val="32"/>
          <w:u w:val="single"/>
        </w:rPr>
        <w:t xml:space="preserve">      </w:t>
      </w:r>
      <w:r>
        <w:rPr>
          <w:rFonts w:ascii="仿宋_GB2312" w:eastAsia="仿宋_GB2312" w:hAnsi="仿宋_GB2312" w:cs="仿宋_GB2312"/>
          <w:sz w:val="32"/>
        </w:rPr>
        <w:t>）后，郑重承诺按如下内容进行建设：</w:t>
      </w:r>
    </w:p>
    <w:p w:rsidR="00004F40" w:rsidRDefault="00537043">
      <w:pPr>
        <w:spacing w:before="120"/>
      </w:pPr>
      <w:r>
        <w:rPr>
          <w:rFonts w:ascii="仿宋_GB2312" w:eastAsia="仿宋_GB2312" w:hAnsi="仿宋_GB2312" w:cs="仿宋_GB2312"/>
          <w:sz w:val="32"/>
        </w:rPr>
        <w:t>一、“智慧+品质”</w:t>
      </w:r>
      <w:r>
        <w:rPr>
          <w:rFonts w:ascii="仿宋_GB2312" w:eastAsia="仿宋_GB2312" w:hAnsi="仿宋_GB2312" w:cs="仿宋_GB2312" w:hint="eastAsia"/>
          <w:sz w:val="32"/>
          <w:szCs w:val="32"/>
        </w:rPr>
        <w:t>住宅评价指引的基本规定和</w:t>
      </w:r>
      <w:r>
        <w:rPr>
          <w:rFonts w:ascii="仿宋_GB2312" w:eastAsia="仿宋_GB2312" w:hAnsi="仿宋_GB2312" w:cs="仿宋_GB2312"/>
          <w:sz w:val="32"/>
        </w:rPr>
        <w:t>控制项全部子项均达标；</w:t>
      </w:r>
    </w:p>
    <w:p w:rsidR="00004F40" w:rsidRDefault="00537043">
      <w:pPr>
        <w:spacing w:before="120"/>
        <w:rPr>
          <w:rFonts w:ascii="仿宋_GB2312" w:eastAsia="仿宋_GB2312" w:hAnsi="仿宋_GB2312" w:cs="仿宋_GB2312"/>
          <w:sz w:val="32"/>
        </w:rPr>
      </w:pPr>
      <w:r>
        <w:rPr>
          <w:rFonts w:ascii="仿宋_GB2312" w:eastAsia="仿宋_GB2312" w:hAnsi="仿宋_GB2312" w:cs="仿宋_GB2312"/>
          <w:sz w:val="32"/>
        </w:rPr>
        <w:t>二、综合评分不低于</w:t>
      </w:r>
      <w:r>
        <w:rPr>
          <w:rFonts w:ascii="仿宋_GB2312" w:eastAsia="仿宋_GB2312" w:hAnsi="仿宋_GB2312" w:cs="仿宋_GB2312"/>
          <w:sz w:val="32"/>
          <w:u w:val="single"/>
        </w:rPr>
        <w:t xml:space="preserve">      </w:t>
      </w:r>
      <w:r>
        <w:rPr>
          <w:rFonts w:ascii="仿宋_GB2312" w:eastAsia="仿宋_GB2312" w:hAnsi="仿宋_GB2312" w:cs="仿宋_GB2312"/>
          <w:sz w:val="32"/>
        </w:rPr>
        <w:t>分，具体评价项目和子项附后</w:t>
      </w:r>
      <w:r>
        <w:rPr>
          <w:rFonts w:ascii="仿宋_GB2312" w:eastAsia="仿宋_GB2312" w:hAnsi="仿宋_GB2312" w:cs="仿宋_GB2312" w:hint="eastAsia"/>
          <w:sz w:val="32"/>
        </w:rPr>
        <w:t>；</w:t>
      </w:r>
    </w:p>
    <w:p w:rsidR="00004F40" w:rsidRDefault="00537043">
      <w:pPr>
        <w:spacing w:before="120"/>
      </w:pPr>
      <w:r>
        <w:rPr>
          <w:rFonts w:ascii="仿宋_GB2312" w:eastAsia="仿宋_GB2312" w:hAnsi="仿宋_GB2312" w:cs="仿宋_GB2312" w:hint="eastAsia"/>
          <w:sz w:val="32"/>
        </w:rPr>
        <w:t>三、</w:t>
      </w:r>
      <w:r>
        <w:rPr>
          <w:rFonts w:ascii="仿宋_GB2312" w:eastAsia="仿宋_GB2312" w:hAnsi="仿宋_GB2312" w:cs="仿宋_GB2312" w:hint="eastAsia"/>
          <w:sz w:val="32"/>
          <w:szCs w:val="32"/>
        </w:rPr>
        <w:t>竞得后30个工作日内，与广州市住房和城乡建设局签订《建设监管协议》。</w:t>
      </w:r>
      <w:r>
        <w:rPr>
          <w:rFonts w:ascii="仿宋_GB2312" w:eastAsia="仿宋_GB2312" w:hAnsi="仿宋_GB2312" w:cs="仿宋_GB2312"/>
          <w:sz w:val="32"/>
        </w:rPr>
        <w:t xml:space="preserve">  </w:t>
      </w:r>
    </w:p>
    <w:p w:rsidR="00004F40" w:rsidRDefault="00537043">
      <w:pPr>
        <w:spacing w:before="120"/>
        <w:ind w:firstLineChars="200" w:firstLine="640"/>
      </w:pPr>
      <w:r>
        <w:rPr>
          <w:rFonts w:ascii="仿宋_GB2312" w:eastAsia="仿宋_GB2312" w:hAnsi="仿宋_GB2312" w:cs="仿宋_GB2312" w:hint="eastAsia"/>
          <w:sz w:val="32"/>
          <w:szCs w:val="32"/>
        </w:rPr>
        <w:t>上述内容如有违反，我公司愿按照《建设监管协议》约定承担相关违约责任</w:t>
      </w:r>
      <w:r>
        <w:rPr>
          <w:rFonts w:ascii="仿宋_GB2312" w:eastAsia="仿宋_GB2312" w:hAnsi="仿宋_GB2312" w:cs="仿宋_GB2312"/>
          <w:sz w:val="32"/>
        </w:rPr>
        <w:t>。</w:t>
      </w:r>
    </w:p>
    <w:p w:rsidR="00004F40" w:rsidRDefault="00537043">
      <w:pPr>
        <w:spacing w:before="120"/>
        <w:ind w:firstLineChars="200" w:firstLine="640"/>
      </w:pPr>
      <w:r>
        <w:rPr>
          <w:rFonts w:ascii="仿宋_GB2312" w:eastAsia="仿宋_GB2312" w:hAnsi="仿宋_GB2312" w:cs="仿宋_GB2312"/>
          <w:sz w:val="32"/>
        </w:rPr>
        <w:t>特此承诺。</w:t>
      </w:r>
    </w:p>
    <w:p w:rsidR="00004F40" w:rsidRDefault="00004F40">
      <w:pPr>
        <w:spacing w:before="120"/>
      </w:pPr>
    </w:p>
    <w:p w:rsidR="00004F40" w:rsidRDefault="00004F40">
      <w:pPr>
        <w:spacing w:before="120"/>
      </w:pPr>
    </w:p>
    <w:p w:rsidR="00004F40" w:rsidRDefault="00537043">
      <w:pPr>
        <w:spacing w:before="120"/>
      </w:pPr>
      <w:r>
        <w:rPr>
          <w:rFonts w:ascii="仿宋_GB2312" w:eastAsia="仿宋_GB2312" w:hAnsi="仿宋_GB2312" w:cs="仿宋_GB2312"/>
          <w:sz w:val="32"/>
        </w:rPr>
        <w:t>竞买人盖章（单位）：</w:t>
      </w:r>
    </w:p>
    <w:p w:rsidR="00004F40" w:rsidRDefault="00537043">
      <w:pPr>
        <w:spacing w:before="120"/>
      </w:pPr>
      <w:r>
        <w:rPr>
          <w:rFonts w:ascii="仿宋_GB2312" w:eastAsia="仿宋_GB2312" w:hAnsi="仿宋_GB2312" w:cs="仿宋_GB2312"/>
          <w:sz w:val="32"/>
        </w:rPr>
        <w:t>法定代表人签名（或委托代理人）：</w:t>
      </w:r>
    </w:p>
    <w:p w:rsidR="00004F40" w:rsidRDefault="00004F40">
      <w:pPr>
        <w:spacing w:before="120"/>
        <w:ind w:firstLineChars="1200" w:firstLine="2880"/>
      </w:pPr>
    </w:p>
    <w:p w:rsidR="00004F40" w:rsidRDefault="00537043">
      <w:pPr>
        <w:spacing w:before="120"/>
        <w:ind w:firstLineChars="1400" w:firstLine="4480"/>
      </w:pPr>
      <w:r>
        <w:rPr>
          <w:rFonts w:ascii="仿宋_GB2312" w:eastAsia="仿宋_GB2312" w:hAnsi="仿宋_GB2312" w:cs="仿宋_GB2312"/>
          <w:sz w:val="32"/>
        </w:rPr>
        <w:t>日期：   年   月   日</w:t>
      </w:r>
    </w:p>
    <w:p w:rsidR="00004F40" w:rsidRDefault="00004F40">
      <w:pPr>
        <w:spacing w:before="120"/>
      </w:pPr>
    </w:p>
    <w:p w:rsidR="00004F40" w:rsidRDefault="00004F40">
      <w:pPr>
        <w:spacing w:before="120"/>
      </w:pPr>
    </w:p>
    <w:p w:rsidR="00004F40" w:rsidRDefault="00004F40">
      <w:pPr>
        <w:spacing w:before="120"/>
      </w:pPr>
    </w:p>
    <w:p w:rsidR="00004F40" w:rsidRDefault="00537043">
      <w:pPr>
        <w:spacing w:before="120"/>
        <w:rPr>
          <w:rFonts w:ascii="黑体" w:eastAsia="黑体" w:hAnsi="黑体" w:cs="黑体"/>
          <w:sz w:val="28"/>
        </w:rPr>
      </w:pPr>
      <w:r>
        <w:rPr>
          <w:rFonts w:ascii="黑体" w:eastAsia="黑体" w:hAnsi="黑体" w:cs="黑体"/>
          <w:sz w:val="28"/>
        </w:rPr>
        <w:br w:type="page"/>
      </w:r>
    </w:p>
    <w:p w:rsidR="00004F40" w:rsidRDefault="00537043">
      <w:pPr>
        <w:pStyle w:val="10"/>
        <w:rPr>
          <w:rFonts w:ascii="黑体" w:eastAsia="黑体" w:hAnsi="黑体" w:cs="黑体"/>
          <w:sz w:val="28"/>
        </w:rPr>
      </w:pPr>
      <w:bookmarkStart w:id="31" w:name="_Toc1019051565"/>
      <w:bookmarkStart w:id="32" w:name="_Toc8044_WPSOffice_Level2"/>
      <w:bookmarkStart w:id="33" w:name="_Toc12738_WPSOffice_Level2"/>
      <w:bookmarkStart w:id="34" w:name="_Toc27880_WPSOffice_Level2"/>
      <w:bookmarkStart w:id="35" w:name="_Toc9016_WPSOffice_Level2"/>
      <w:r>
        <w:rPr>
          <w:rFonts w:ascii="黑体" w:eastAsia="黑体" w:hAnsi="黑体" w:cs="黑体"/>
          <w:sz w:val="28"/>
        </w:rPr>
        <w:lastRenderedPageBreak/>
        <w:t>附录</w:t>
      </w:r>
      <w:r>
        <w:rPr>
          <w:rFonts w:ascii="黑体" w:eastAsia="黑体" w:hAnsi="黑体" w:cs="黑体" w:hint="eastAsia"/>
          <w:sz w:val="28"/>
        </w:rPr>
        <w:t>3 “智慧+品质”住宅自评价报告</w:t>
      </w:r>
      <w:bookmarkEnd w:id="31"/>
    </w:p>
    <w:p w:rsidR="00004F40" w:rsidRDefault="00537043">
      <w:pPr>
        <w:spacing w:before="120"/>
        <w:jc w:val="center"/>
        <w:rPr>
          <w:b/>
          <w:sz w:val="36"/>
          <w:szCs w:val="36"/>
        </w:rPr>
      </w:pPr>
      <w:r>
        <w:rPr>
          <w:rFonts w:hint="eastAsia"/>
          <w:b/>
          <w:sz w:val="36"/>
          <w:szCs w:val="36"/>
        </w:rPr>
        <w:t>“智慧</w:t>
      </w:r>
      <w:r>
        <w:rPr>
          <w:rFonts w:hint="eastAsia"/>
          <w:b/>
          <w:sz w:val="36"/>
          <w:szCs w:val="36"/>
        </w:rPr>
        <w:t>+</w:t>
      </w:r>
      <w:r>
        <w:rPr>
          <w:rFonts w:hint="eastAsia"/>
          <w:b/>
          <w:sz w:val="36"/>
          <w:szCs w:val="36"/>
        </w:rPr>
        <w:t>品质”住宅自评价报告</w:t>
      </w:r>
      <w:bookmarkStart w:id="36" w:name="_Toc7525_WPSOffice_Level1"/>
      <w:bookmarkStart w:id="37" w:name="_Toc26944_WPSOffice_Level1"/>
      <w:bookmarkStart w:id="38" w:name="_Toc21785_WPSOffice_Level1"/>
      <w:bookmarkStart w:id="39" w:name="_Toc4913_WPSOffice_Level1"/>
      <w:bookmarkEnd w:id="32"/>
      <w:bookmarkEnd w:id="33"/>
      <w:bookmarkEnd w:id="34"/>
      <w:bookmarkEnd w:id="35"/>
    </w:p>
    <w:p w:rsidR="00004F40" w:rsidRDefault="00537043">
      <w:pPr>
        <w:spacing w:before="120"/>
        <w:jc w:val="center"/>
        <w:rPr>
          <w:b/>
          <w:sz w:val="32"/>
        </w:rPr>
      </w:pPr>
      <w:r>
        <w:rPr>
          <w:rFonts w:hint="eastAsia"/>
          <w:b/>
          <w:sz w:val="32"/>
        </w:rPr>
        <w:t>一、项目基本情况</w:t>
      </w:r>
      <w:bookmarkEnd w:id="36"/>
      <w:bookmarkEnd w:id="37"/>
      <w:bookmarkEnd w:id="38"/>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3"/>
        <w:gridCol w:w="2383"/>
        <w:gridCol w:w="1267"/>
        <w:gridCol w:w="2266"/>
      </w:tblGrid>
      <w:tr w:rsidR="00004F40">
        <w:trPr>
          <w:trHeight w:val="170"/>
        </w:trPr>
        <w:tc>
          <w:tcPr>
            <w:tcW w:w="2833"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楷体_GB2312" w:eastAsia="楷体_GB2312"/>
                <w:szCs w:val="24"/>
              </w:rPr>
            </w:pPr>
            <w:r>
              <w:rPr>
                <w:rFonts w:ascii="楷体_GB2312" w:eastAsia="楷体_GB2312" w:hint="eastAsia"/>
                <w:szCs w:val="24"/>
              </w:rPr>
              <w:t>项目名称</w:t>
            </w:r>
          </w:p>
        </w:tc>
        <w:tc>
          <w:tcPr>
            <w:tcW w:w="5916" w:type="dxa"/>
            <w:gridSpan w:val="3"/>
            <w:tcBorders>
              <w:top w:val="single" w:sz="4" w:space="0" w:color="auto"/>
              <w:left w:val="single" w:sz="4" w:space="0" w:color="auto"/>
              <w:bottom w:val="single" w:sz="4" w:space="0" w:color="auto"/>
              <w:right w:val="single" w:sz="4" w:space="0" w:color="auto"/>
            </w:tcBorders>
            <w:vAlign w:val="center"/>
          </w:tcPr>
          <w:p w:rsidR="00004F40" w:rsidRDefault="00004F40">
            <w:pPr>
              <w:spacing w:before="120"/>
              <w:jc w:val="center"/>
              <w:rPr>
                <w:sz w:val="28"/>
              </w:rPr>
            </w:pPr>
          </w:p>
        </w:tc>
      </w:tr>
      <w:tr w:rsidR="00004F40">
        <w:trPr>
          <w:trHeight w:val="170"/>
        </w:trPr>
        <w:tc>
          <w:tcPr>
            <w:tcW w:w="2833"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楷体_GB2312" w:eastAsia="楷体_GB2312"/>
                <w:szCs w:val="24"/>
              </w:rPr>
            </w:pPr>
            <w:r>
              <w:rPr>
                <w:rFonts w:ascii="楷体_GB2312" w:eastAsia="楷体_GB2312" w:hint="eastAsia"/>
                <w:szCs w:val="24"/>
              </w:rPr>
              <w:t>项目类别</w:t>
            </w:r>
          </w:p>
        </w:tc>
        <w:tc>
          <w:tcPr>
            <w:tcW w:w="5916" w:type="dxa"/>
            <w:gridSpan w:val="3"/>
            <w:tcBorders>
              <w:top w:val="single" w:sz="4" w:space="0" w:color="auto"/>
              <w:left w:val="single" w:sz="4" w:space="0" w:color="auto"/>
              <w:bottom w:val="single" w:sz="4" w:space="0" w:color="auto"/>
              <w:right w:val="single" w:sz="4" w:space="0" w:color="auto"/>
            </w:tcBorders>
            <w:vAlign w:val="center"/>
          </w:tcPr>
          <w:p w:rsidR="00004F40" w:rsidRDefault="00004F40">
            <w:pPr>
              <w:widowControl/>
              <w:spacing w:before="120" w:line="360" w:lineRule="auto"/>
              <w:jc w:val="left"/>
              <w:rPr>
                <w:sz w:val="28"/>
              </w:rPr>
            </w:pPr>
          </w:p>
        </w:tc>
      </w:tr>
      <w:tr w:rsidR="00004F40">
        <w:trPr>
          <w:trHeight w:val="170"/>
        </w:trPr>
        <w:tc>
          <w:tcPr>
            <w:tcW w:w="2833"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楷体_GB2312" w:eastAsia="楷体_GB2312"/>
                <w:szCs w:val="24"/>
              </w:rPr>
            </w:pPr>
            <w:r>
              <w:rPr>
                <w:rFonts w:ascii="楷体_GB2312" w:eastAsia="楷体_GB2312" w:hint="eastAsia"/>
                <w:szCs w:val="24"/>
              </w:rPr>
              <w:t>项目地址</w:t>
            </w:r>
          </w:p>
        </w:tc>
        <w:tc>
          <w:tcPr>
            <w:tcW w:w="5916" w:type="dxa"/>
            <w:gridSpan w:val="3"/>
            <w:tcBorders>
              <w:top w:val="single" w:sz="4" w:space="0" w:color="auto"/>
              <w:left w:val="single" w:sz="4" w:space="0" w:color="auto"/>
              <w:bottom w:val="single" w:sz="4" w:space="0" w:color="auto"/>
              <w:right w:val="single" w:sz="4" w:space="0" w:color="auto"/>
            </w:tcBorders>
            <w:vAlign w:val="center"/>
          </w:tcPr>
          <w:p w:rsidR="00004F40" w:rsidRDefault="00004F40">
            <w:pPr>
              <w:widowControl/>
              <w:spacing w:before="120" w:line="360" w:lineRule="auto"/>
              <w:jc w:val="left"/>
              <w:rPr>
                <w:sz w:val="28"/>
              </w:rPr>
            </w:pPr>
          </w:p>
        </w:tc>
      </w:tr>
      <w:tr w:rsidR="00004F40">
        <w:trPr>
          <w:trHeight w:val="170"/>
        </w:trPr>
        <w:tc>
          <w:tcPr>
            <w:tcW w:w="2833"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楷体_GB2312" w:eastAsia="楷体_GB2312"/>
                <w:szCs w:val="24"/>
              </w:rPr>
            </w:pPr>
            <w:r>
              <w:rPr>
                <w:rFonts w:ascii="楷体_GB2312" w:eastAsia="楷体_GB2312" w:hint="eastAsia"/>
                <w:szCs w:val="24"/>
              </w:rPr>
              <w:t>选址特征</w:t>
            </w:r>
          </w:p>
        </w:tc>
        <w:tc>
          <w:tcPr>
            <w:tcW w:w="5916" w:type="dxa"/>
            <w:gridSpan w:val="3"/>
            <w:tcBorders>
              <w:top w:val="single" w:sz="4" w:space="0" w:color="auto"/>
              <w:left w:val="single" w:sz="4" w:space="0" w:color="auto"/>
              <w:bottom w:val="single" w:sz="4" w:space="0" w:color="auto"/>
              <w:right w:val="single" w:sz="4" w:space="0" w:color="auto"/>
            </w:tcBorders>
            <w:vAlign w:val="center"/>
          </w:tcPr>
          <w:p w:rsidR="00004F40" w:rsidRDefault="00004F40">
            <w:pPr>
              <w:widowControl/>
              <w:spacing w:before="120" w:line="360" w:lineRule="auto"/>
              <w:jc w:val="left"/>
              <w:rPr>
                <w:sz w:val="28"/>
              </w:rPr>
            </w:pPr>
          </w:p>
        </w:tc>
      </w:tr>
      <w:tr w:rsidR="00004F40">
        <w:trPr>
          <w:trHeight w:val="170"/>
        </w:trPr>
        <w:tc>
          <w:tcPr>
            <w:tcW w:w="2833"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楷体_GB2312" w:eastAsia="楷体_GB2312"/>
                <w:szCs w:val="24"/>
              </w:rPr>
            </w:pPr>
            <w:r>
              <w:rPr>
                <w:rFonts w:ascii="楷体_GB2312" w:eastAsia="楷体_GB2312" w:hint="eastAsia"/>
                <w:szCs w:val="24"/>
              </w:rPr>
              <w:t>用地规模（m</w:t>
            </w:r>
            <w:r>
              <w:rPr>
                <w:rFonts w:ascii="楷体_GB2312" w:eastAsia="楷体_GB2312" w:hint="eastAsia"/>
                <w:szCs w:val="24"/>
                <w:vertAlign w:val="superscript"/>
              </w:rPr>
              <w:t>2</w:t>
            </w:r>
            <w:r>
              <w:rPr>
                <w:rFonts w:ascii="楷体_GB2312" w:eastAsia="楷体_GB2312" w:hint="eastAsia"/>
                <w:szCs w:val="24"/>
              </w:rPr>
              <w:t>）</w:t>
            </w:r>
          </w:p>
        </w:tc>
        <w:tc>
          <w:tcPr>
            <w:tcW w:w="2383" w:type="dxa"/>
            <w:tcBorders>
              <w:top w:val="single" w:sz="4" w:space="0" w:color="auto"/>
              <w:left w:val="single" w:sz="4" w:space="0" w:color="auto"/>
              <w:bottom w:val="single" w:sz="4" w:space="0" w:color="auto"/>
              <w:right w:val="single" w:sz="4" w:space="0" w:color="auto"/>
            </w:tcBorders>
            <w:vAlign w:val="center"/>
          </w:tcPr>
          <w:p w:rsidR="00004F40" w:rsidRDefault="00004F40">
            <w:pPr>
              <w:widowControl/>
              <w:spacing w:before="120" w:line="360" w:lineRule="auto"/>
              <w:jc w:val="left"/>
              <w:rPr>
                <w:sz w:val="28"/>
              </w:rPr>
            </w:pPr>
          </w:p>
        </w:tc>
        <w:tc>
          <w:tcPr>
            <w:tcW w:w="1267" w:type="dxa"/>
            <w:tcBorders>
              <w:top w:val="single" w:sz="4" w:space="0" w:color="auto"/>
              <w:left w:val="single" w:sz="4" w:space="0" w:color="auto"/>
              <w:bottom w:val="single" w:sz="4" w:space="0" w:color="auto"/>
              <w:right w:val="single" w:sz="4" w:space="0" w:color="auto"/>
            </w:tcBorders>
            <w:vAlign w:val="center"/>
          </w:tcPr>
          <w:p w:rsidR="00004F40" w:rsidRDefault="00537043">
            <w:pPr>
              <w:widowControl/>
              <w:spacing w:before="120" w:line="360" w:lineRule="auto"/>
              <w:jc w:val="center"/>
              <w:rPr>
                <w:sz w:val="28"/>
              </w:rPr>
            </w:pPr>
            <w:r>
              <w:rPr>
                <w:rFonts w:ascii="楷体_GB2312" w:eastAsia="楷体_GB2312" w:hint="eastAsia"/>
                <w:szCs w:val="24"/>
              </w:rPr>
              <w:t>高度</w:t>
            </w:r>
          </w:p>
        </w:tc>
        <w:tc>
          <w:tcPr>
            <w:tcW w:w="2266" w:type="dxa"/>
            <w:tcBorders>
              <w:top w:val="single" w:sz="4" w:space="0" w:color="auto"/>
              <w:left w:val="single" w:sz="4" w:space="0" w:color="auto"/>
              <w:bottom w:val="single" w:sz="4" w:space="0" w:color="auto"/>
              <w:right w:val="single" w:sz="4" w:space="0" w:color="auto"/>
            </w:tcBorders>
            <w:vAlign w:val="center"/>
          </w:tcPr>
          <w:p w:rsidR="00004F40" w:rsidRDefault="00004F40">
            <w:pPr>
              <w:widowControl/>
              <w:spacing w:before="120" w:line="360" w:lineRule="auto"/>
              <w:jc w:val="left"/>
              <w:rPr>
                <w:sz w:val="28"/>
              </w:rPr>
            </w:pPr>
          </w:p>
        </w:tc>
      </w:tr>
      <w:tr w:rsidR="00004F40">
        <w:trPr>
          <w:trHeight w:val="170"/>
        </w:trPr>
        <w:tc>
          <w:tcPr>
            <w:tcW w:w="2833"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楷体_GB2312" w:eastAsia="楷体_GB2312"/>
                <w:szCs w:val="24"/>
              </w:rPr>
            </w:pPr>
            <w:r>
              <w:rPr>
                <w:rFonts w:ascii="楷体_GB2312" w:eastAsia="楷体_GB2312" w:hint="eastAsia"/>
                <w:szCs w:val="24"/>
              </w:rPr>
              <w:t>建设规模（m</w:t>
            </w:r>
            <w:r>
              <w:rPr>
                <w:rFonts w:ascii="楷体_GB2312" w:eastAsia="楷体_GB2312" w:hint="eastAsia"/>
                <w:szCs w:val="24"/>
                <w:vertAlign w:val="superscript"/>
              </w:rPr>
              <w:t>2</w:t>
            </w:r>
            <w:r>
              <w:rPr>
                <w:rFonts w:ascii="楷体_GB2312" w:eastAsia="楷体_GB2312" w:hint="eastAsia"/>
                <w:szCs w:val="24"/>
              </w:rPr>
              <w:t>）</w:t>
            </w:r>
          </w:p>
        </w:tc>
        <w:tc>
          <w:tcPr>
            <w:tcW w:w="2383" w:type="dxa"/>
            <w:tcBorders>
              <w:top w:val="single" w:sz="4" w:space="0" w:color="auto"/>
              <w:left w:val="single" w:sz="4" w:space="0" w:color="auto"/>
              <w:bottom w:val="single" w:sz="4" w:space="0" w:color="auto"/>
              <w:right w:val="single" w:sz="4" w:space="0" w:color="auto"/>
            </w:tcBorders>
            <w:vAlign w:val="center"/>
          </w:tcPr>
          <w:p w:rsidR="00004F40" w:rsidRDefault="00004F40">
            <w:pPr>
              <w:widowControl/>
              <w:spacing w:before="120" w:line="360" w:lineRule="auto"/>
              <w:jc w:val="left"/>
              <w:rPr>
                <w:sz w:val="28"/>
              </w:rPr>
            </w:pPr>
          </w:p>
        </w:tc>
        <w:tc>
          <w:tcPr>
            <w:tcW w:w="1267" w:type="dxa"/>
            <w:tcBorders>
              <w:top w:val="single" w:sz="4" w:space="0" w:color="auto"/>
              <w:left w:val="single" w:sz="4" w:space="0" w:color="auto"/>
              <w:bottom w:val="single" w:sz="4" w:space="0" w:color="auto"/>
              <w:right w:val="single" w:sz="4" w:space="0" w:color="auto"/>
            </w:tcBorders>
            <w:vAlign w:val="center"/>
          </w:tcPr>
          <w:p w:rsidR="00004F40" w:rsidRDefault="00537043">
            <w:pPr>
              <w:widowControl/>
              <w:spacing w:before="120" w:line="360" w:lineRule="auto"/>
              <w:jc w:val="center"/>
              <w:rPr>
                <w:sz w:val="28"/>
              </w:rPr>
            </w:pPr>
            <w:r>
              <w:rPr>
                <w:rFonts w:ascii="楷体_GB2312" w:eastAsia="楷体_GB2312" w:hint="eastAsia"/>
                <w:szCs w:val="24"/>
              </w:rPr>
              <w:t>层数</w:t>
            </w:r>
          </w:p>
        </w:tc>
        <w:tc>
          <w:tcPr>
            <w:tcW w:w="2266" w:type="dxa"/>
            <w:tcBorders>
              <w:top w:val="single" w:sz="4" w:space="0" w:color="auto"/>
              <w:left w:val="single" w:sz="4" w:space="0" w:color="auto"/>
              <w:bottom w:val="single" w:sz="4" w:space="0" w:color="auto"/>
              <w:right w:val="single" w:sz="4" w:space="0" w:color="auto"/>
            </w:tcBorders>
            <w:vAlign w:val="center"/>
          </w:tcPr>
          <w:p w:rsidR="00004F40" w:rsidRDefault="00537043">
            <w:pPr>
              <w:widowControl/>
              <w:spacing w:before="120" w:line="360" w:lineRule="auto"/>
              <w:jc w:val="center"/>
              <w:rPr>
                <w:sz w:val="28"/>
              </w:rPr>
            </w:pPr>
            <w:r>
              <w:rPr>
                <w:rFonts w:ascii="楷体_GB2312" w:eastAsia="楷体_GB2312" w:hint="eastAsia"/>
                <w:szCs w:val="24"/>
              </w:rPr>
              <w:t>地上/地下</w:t>
            </w:r>
          </w:p>
        </w:tc>
      </w:tr>
      <w:tr w:rsidR="00004F40">
        <w:trPr>
          <w:trHeight w:val="170"/>
        </w:trPr>
        <w:tc>
          <w:tcPr>
            <w:tcW w:w="2833"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Lines="0" w:before="0" w:line="240" w:lineRule="auto"/>
              <w:jc w:val="center"/>
              <w:rPr>
                <w:rFonts w:ascii="楷体_GB2312" w:eastAsia="楷体_GB2312"/>
                <w:szCs w:val="24"/>
              </w:rPr>
            </w:pPr>
            <w:r>
              <w:rPr>
                <w:rFonts w:ascii="楷体_GB2312" w:eastAsia="楷体_GB2312" w:hint="eastAsia"/>
                <w:szCs w:val="24"/>
              </w:rPr>
              <w:t>设计阶段</w:t>
            </w:r>
          </w:p>
        </w:tc>
        <w:tc>
          <w:tcPr>
            <w:tcW w:w="2383" w:type="dxa"/>
            <w:tcBorders>
              <w:top w:val="single" w:sz="4" w:space="0" w:color="auto"/>
              <w:left w:val="single" w:sz="4" w:space="0" w:color="auto"/>
              <w:bottom w:val="single" w:sz="4" w:space="0" w:color="auto"/>
              <w:right w:val="single" w:sz="4" w:space="0" w:color="auto"/>
            </w:tcBorders>
            <w:vAlign w:val="center"/>
          </w:tcPr>
          <w:p w:rsidR="00004F40" w:rsidRDefault="00004F40">
            <w:pPr>
              <w:spacing w:before="120"/>
              <w:rPr>
                <w:sz w:val="28"/>
              </w:rPr>
            </w:pPr>
          </w:p>
        </w:tc>
        <w:tc>
          <w:tcPr>
            <w:tcW w:w="1267"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楷体_GB2312" w:eastAsia="楷体_GB2312"/>
                <w:szCs w:val="24"/>
              </w:rPr>
            </w:pPr>
            <w:r>
              <w:rPr>
                <w:rFonts w:ascii="楷体_GB2312" w:eastAsia="楷体_GB2312" w:hint="eastAsia"/>
                <w:szCs w:val="24"/>
              </w:rPr>
              <w:t>竣工时间</w:t>
            </w:r>
          </w:p>
        </w:tc>
        <w:tc>
          <w:tcPr>
            <w:tcW w:w="2266"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楷体_GB2312" w:eastAsia="楷体_GB2312"/>
                <w:szCs w:val="24"/>
              </w:rPr>
            </w:pPr>
            <w:r>
              <w:rPr>
                <w:rFonts w:ascii="等线 Light" w:eastAsia="等线 Light" w:hAnsi="等线 Light" w:cs="等线 Light" w:hint="eastAsia"/>
                <w:szCs w:val="24"/>
              </w:rPr>
              <w:t>YYYY/MM/DD</w:t>
            </w:r>
          </w:p>
        </w:tc>
      </w:tr>
      <w:tr w:rsidR="00004F40">
        <w:trPr>
          <w:trHeight w:val="170"/>
        </w:trPr>
        <w:tc>
          <w:tcPr>
            <w:tcW w:w="2833"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Lines="0" w:before="0" w:line="240" w:lineRule="auto"/>
              <w:jc w:val="center"/>
              <w:rPr>
                <w:rFonts w:ascii="楷体_GB2312" w:eastAsia="楷体_GB2312"/>
                <w:szCs w:val="24"/>
              </w:rPr>
            </w:pPr>
            <w:r>
              <w:rPr>
                <w:rFonts w:ascii="楷体_GB2312" w:eastAsia="楷体_GB2312" w:hint="eastAsia"/>
                <w:szCs w:val="24"/>
              </w:rPr>
              <w:t>《建设用地规划许可证》</w:t>
            </w:r>
          </w:p>
        </w:tc>
        <w:tc>
          <w:tcPr>
            <w:tcW w:w="2383"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等线 Light" w:eastAsia="等线 Light" w:hAnsi="等线 Light" w:cs="等线 Light"/>
                <w:szCs w:val="24"/>
              </w:rPr>
            </w:pPr>
            <w:r>
              <w:rPr>
                <w:rFonts w:ascii="等线 Light" w:eastAsia="等线 Light" w:hAnsi="等线 Light" w:cs="等线 Light" w:hint="eastAsia"/>
                <w:szCs w:val="24"/>
              </w:rPr>
              <w:t>YYYY/MM/DD</w:t>
            </w:r>
          </w:p>
        </w:tc>
        <w:tc>
          <w:tcPr>
            <w:tcW w:w="1267"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楷体_GB2312" w:eastAsia="楷体_GB2312"/>
                <w:szCs w:val="24"/>
              </w:rPr>
            </w:pPr>
            <w:r>
              <w:rPr>
                <w:rFonts w:ascii="楷体_GB2312" w:eastAsia="楷体_GB2312" w:hint="eastAsia"/>
                <w:szCs w:val="24"/>
              </w:rPr>
              <w:t>编号</w:t>
            </w:r>
          </w:p>
        </w:tc>
        <w:tc>
          <w:tcPr>
            <w:tcW w:w="2266" w:type="dxa"/>
            <w:tcBorders>
              <w:top w:val="single" w:sz="4" w:space="0" w:color="auto"/>
              <w:left w:val="single" w:sz="4" w:space="0" w:color="auto"/>
              <w:bottom w:val="single" w:sz="4" w:space="0" w:color="auto"/>
              <w:right w:val="single" w:sz="4" w:space="0" w:color="auto"/>
            </w:tcBorders>
            <w:vAlign w:val="center"/>
          </w:tcPr>
          <w:p w:rsidR="00004F40" w:rsidRDefault="00004F40">
            <w:pPr>
              <w:spacing w:before="120"/>
              <w:jc w:val="center"/>
              <w:rPr>
                <w:rFonts w:ascii="楷体_GB2312" w:eastAsia="楷体_GB2312"/>
                <w:szCs w:val="24"/>
              </w:rPr>
            </w:pPr>
          </w:p>
        </w:tc>
      </w:tr>
      <w:tr w:rsidR="00004F40">
        <w:trPr>
          <w:trHeight w:val="170"/>
        </w:trPr>
        <w:tc>
          <w:tcPr>
            <w:tcW w:w="2833"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Lines="0" w:before="0" w:line="240" w:lineRule="auto"/>
              <w:jc w:val="center"/>
              <w:rPr>
                <w:rFonts w:ascii="楷体_GB2312" w:eastAsia="楷体_GB2312"/>
                <w:szCs w:val="24"/>
              </w:rPr>
            </w:pPr>
            <w:r>
              <w:rPr>
                <w:rFonts w:ascii="楷体_GB2312" w:eastAsia="楷体_GB2312" w:hint="eastAsia"/>
                <w:szCs w:val="24"/>
              </w:rPr>
              <w:t>《建设工程施工许可证》</w:t>
            </w:r>
          </w:p>
        </w:tc>
        <w:tc>
          <w:tcPr>
            <w:tcW w:w="2383"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等线 Light" w:eastAsia="等线 Light" w:hAnsi="等线 Light" w:cs="等线 Light"/>
                <w:szCs w:val="24"/>
              </w:rPr>
            </w:pPr>
            <w:r>
              <w:rPr>
                <w:rFonts w:ascii="等线 Light" w:eastAsia="等线 Light" w:hAnsi="等线 Light" w:cs="等线 Light" w:hint="eastAsia"/>
                <w:szCs w:val="24"/>
              </w:rPr>
              <w:t>YYYY/MM/DD</w:t>
            </w:r>
          </w:p>
        </w:tc>
        <w:tc>
          <w:tcPr>
            <w:tcW w:w="1267"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楷体_GB2312" w:eastAsia="楷体_GB2312"/>
                <w:szCs w:val="24"/>
              </w:rPr>
            </w:pPr>
            <w:r>
              <w:rPr>
                <w:rFonts w:ascii="楷体_GB2312" w:eastAsia="楷体_GB2312" w:hint="eastAsia"/>
                <w:szCs w:val="24"/>
              </w:rPr>
              <w:t>编号</w:t>
            </w:r>
          </w:p>
        </w:tc>
        <w:tc>
          <w:tcPr>
            <w:tcW w:w="2266" w:type="dxa"/>
            <w:tcBorders>
              <w:top w:val="single" w:sz="4" w:space="0" w:color="auto"/>
              <w:left w:val="single" w:sz="4" w:space="0" w:color="auto"/>
              <w:bottom w:val="single" w:sz="4" w:space="0" w:color="auto"/>
              <w:right w:val="single" w:sz="4" w:space="0" w:color="auto"/>
            </w:tcBorders>
            <w:vAlign w:val="center"/>
          </w:tcPr>
          <w:p w:rsidR="00004F40" w:rsidRDefault="00004F40">
            <w:pPr>
              <w:spacing w:before="120"/>
              <w:rPr>
                <w:rFonts w:ascii="楷体_GB2312" w:eastAsia="楷体_GB2312"/>
                <w:szCs w:val="24"/>
              </w:rPr>
            </w:pPr>
          </w:p>
        </w:tc>
      </w:tr>
      <w:tr w:rsidR="00004F40">
        <w:trPr>
          <w:trHeight w:val="170"/>
        </w:trPr>
        <w:tc>
          <w:tcPr>
            <w:tcW w:w="2833"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楷体_GB2312" w:eastAsia="楷体_GB2312"/>
                <w:szCs w:val="24"/>
              </w:rPr>
            </w:pPr>
            <w:r>
              <w:rPr>
                <w:rFonts w:ascii="楷体_GB2312" w:eastAsia="楷体_GB2312" w:hint="eastAsia"/>
                <w:szCs w:val="24"/>
              </w:rPr>
              <w:t>建设单位（申报单位）</w:t>
            </w:r>
          </w:p>
        </w:tc>
        <w:tc>
          <w:tcPr>
            <w:tcW w:w="5916" w:type="dxa"/>
            <w:gridSpan w:val="3"/>
            <w:tcBorders>
              <w:top w:val="single" w:sz="4" w:space="0" w:color="auto"/>
              <w:left w:val="single" w:sz="4" w:space="0" w:color="auto"/>
              <w:bottom w:val="single" w:sz="4" w:space="0" w:color="auto"/>
              <w:right w:val="single" w:sz="4" w:space="0" w:color="auto"/>
            </w:tcBorders>
            <w:vAlign w:val="center"/>
          </w:tcPr>
          <w:p w:rsidR="00004F40" w:rsidRDefault="00004F40">
            <w:pPr>
              <w:spacing w:before="120"/>
              <w:rPr>
                <w:szCs w:val="24"/>
              </w:rPr>
            </w:pPr>
          </w:p>
        </w:tc>
      </w:tr>
      <w:tr w:rsidR="00004F40">
        <w:trPr>
          <w:trHeight w:val="170"/>
        </w:trPr>
        <w:tc>
          <w:tcPr>
            <w:tcW w:w="2833"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楷体_GB2312" w:eastAsia="楷体_GB2312"/>
                <w:szCs w:val="24"/>
              </w:rPr>
            </w:pPr>
            <w:r>
              <w:rPr>
                <w:rFonts w:ascii="楷体_GB2312" w:eastAsia="楷体_GB2312" w:hint="eastAsia"/>
                <w:szCs w:val="24"/>
              </w:rPr>
              <w:t>设计单位（如有）</w:t>
            </w:r>
          </w:p>
        </w:tc>
        <w:tc>
          <w:tcPr>
            <w:tcW w:w="5916" w:type="dxa"/>
            <w:gridSpan w:val="3"/>
            <w:tcBorders>
              <w:top w:val="single" w:sz="4" w:space="0" w:color="auto"/>
              <w:left w:val="single" w:sz="4" w:space="0" w:color="auto"/>
              <w:bottom w:val="single" w:sz="4" w:space="0" w:color="auto"/>
              <w:right w:val="single" w:sz="4" w:space="0" w:color="auto"/>
            </w:tcBorders>
            <w:vAlign w:val="center"/>
          </w:tcPr>
          <w:p w:rsidR="00004F40" w:rsidRDefault="00004F40">
            <w:pPr>
              <w:spacing w:before="120"/>
              <w:rPr>
                <w:szCs w:val="24"/>
              </w:rPr>
            </w:pPr>
          </w:p>
        </w:tc>
      </w:tr>
      <w:tr w:rsidR="00004F40">
        <w:trPr>
          <w:trHeight w:val="170"/>
        </w:trPr>
        <w:tc>
          <w:tcPr>
            <w:tcW w:w="2833"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楷体_GB2312" w:eastAsia="楷体_GB2312"/>
                <w:szCs w:val="24"/>
              </w:rPr>
            </w:pPr>
            <w:r>
              <w:rPr>
                <w:rFonts w:ascii="楷体_GB2312" w:eastAsia="楷体_GB2312" w:hint="eastAsia"/>
                <w:szCs w:val="24"/>
              </w:rPr>
              <w:t>施工单位（如有）</w:t>
            </w:r>
          </w:p>
        </w:tc>
        <w:tc>
          <w:tcPr>
            <w:tcW w:w="5916" w:type="dxa"/>
            <w:gridSpan w:val="3"/>
            <w:tcBorders>
              <w:top w:val="single" w:sz="4" w:space="0" w:color="auto"/>
              <w:left w:val="single" w:sz="4" w:space="0" w:color="auto"/>
              <w:bottom w:val="single" w:sz="4" w:space="0" w:color="auto"/>
              <w:right w:val="single" w:sz="4" w:space="0" w:color="auto"/>
            </w:tcBorders>
            <w:vAlign w:val="center"/>
          </w:tcPr>
          <w:p w:rsidR="00004F40" w:rsidRDefault="00004F40">
            <w:pPr>
              <w:spacing w:before="120"/>
              <w:rPr>
                <w:szCs w:val="24"/>
              </w:rPr>
            </w:pPr>
          </w:p>
        </w:tc>
      </w:tr>
      <w:tr w:rsidR="00004F40">
        <w:trPr>
          <w:cantSplit/>
          <w:trHeight w:val="170"/>
        </w:trPr>
        <w:tc>
          <w:tcPr>
            <w:tcW w:w="2833" w:type="dxa"/>
            <w:tcBorders>
              <w:top w:val="single" w:sz="4" w:space="0" w:color="auto"/>
              <w:left w:val="single" w:sz="4" w:space="0" w:color="auto"/>
              <w:bottom w:val="single" w:sz="4" w:space="0" w:color="auto"/>
              <w:right w:val="single" w:sz="4" w:space="0" w:color="auto"/>
            </w:tcBorders>
            <w:vAlign w:val="center"/>
          </w:tcPr>
          <w:p w:rsidR="00004F40" w:rsidRDefault="00537043">
            <w:pPr>
              <w:widowControl/>
              <w:spacing w:before="120"/>
              <w:jc w:val="center"/>
              <w:rPr>
                <w:rFonts w:ascii="楷体_GB2312" w:eastAsia="楷体_GB2312"/>
                <w:szCs w:val="24"/>
              </w:rPr>
            </w:pPr>
            <w:r>
              <w:rPr>
                <w:rFonts w:ascii="楷体_GB2312" w:eastAsia="楷体_GB2312" w:hint="eastAsia"/>
                <w:szCs w:val="24"/>
              </w:rPr>
              <w:t>既有专家评定阶段</w:t>
            </w:r>
          </w:p>
        </w:tc>
        <w:tc>
          <w:tcPr>
            <w:tcW w:w="2383" w:type="dxa"/>
            <w:tcBorders>
              <w:top w:val="single" w:sz="4" w:space="0" w:color="auto"/>
              <w:left w:val="single" w:sz="4" w:space="0" w:color="auto"/>
              <w:bottom w:val="single" w:sz="4" w:space="0" w:color="auto"/>
              <w:right w:val="single" w:sz="4" w:space="0" w:color="auto"/>
            </w:tcBorders>
            <w:vAlign w:val="center"/>
          </w:tcPr>
          <w:p w:rsidR="00004F40" w:rsidRDefault="00537043">
            <w:pPr>
              <w:widowControl/>
              <w:spacing w:before="120"/>
              <w:jc w:val="center"/>
              <w:rPr>
                <w:rFonts w:ascii="仿宋" w:eastAsia="仿宋" w:hAnsi="仿宋" w:cs="仿宋"/>
                <w:kern w:val="0"/>
                <w:szCs w:val="24"/>
              </w:rPr>
            </w:pPr>
            <w:r>
              <w:rPr>
                <w:rFonts w:ascii="仿宋" w:eastAsia="仿宋" w:hAnsi="仿宋" w:cs="仿宋" w:hint="eastAsia"/>
                <w:kern w:val="0"/>
                <w:szCs w:val="24"/>
              </w:rPr>
              <w:t>设计评价（有/无）</w:t>
            </w:r>
          </w:p>
        </w:tc>
        <w:tc>
          <w:tcPr>
            <w:tcW w:w="1267"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楷体_GB2312" w:eastAsia="楷体_GB2312"/>
                <w:szCs w:val="24"/>
              </w:rPr>
            </w:pPr>
            <w:r>
              <w:rPr>
                <w:rFonts w:ascii="楷体_GB2312" w:eastAsia="楷体_GB2312" w:hint="eastAsia"/>
                <w:szCs w:val="24"/>
              </w:rPr>
              <w:t>组织单位</w:t>
            </w:r>
          </w:p>
        </w:tc>
        <w:tc>
          <w:tcPr>
            <w:tcW w:w="2266" w:type="dxa"/>
            <w:tcBorders>
              <w:top w:val="single" w:sz="4" w:space="0" w:color="auto"/>
              <w:left w:val="single" w:sz="4" w:space="0" w:color="auto"/>
              <w:bottom w:val="single" w:sz="4" w:space="0" w:color="auto"/>
              <w:right w:val="single" w:sz="4" w:space="0" w:color="auto"/>
            </w:tcBorders>
            <w:vAlign w:val="center"/>
          </w:tcPr>
          <w:p w:rsidR="00004F40" w:rsidRDefault="00004F40">
            <w:pPr>
              <w:spacing w:before="120"/>
              <w:jc w:val="center"/>
              <w:rPr>
                <w:rFonts w:ascii="仿宋" w:eastAsia="仿宋" w:hAnsi="仿宋" w:cs="仿宋"/>
                <w:kern w:val="0"/>
                <w:szCs w:val="24"/>
              </w:rPr>
            </w:pPr>
          </w:p>
        </w:tc>
      </w:tr>
      <w:tr w:rsidR="00004F40">
        <w:trPr>
          <w:cantSplit/>
          <w:trHeight w:val="170"/>
        </w:trPr>
        <w:tc>
          <w:tcPr>
            <w:tcW w:w="2833" w:type="dxa"/>
            <w:tcBorders>
              <w:top w:val="single" w:sz="4" w:space="0" w:color="auto"/>
              <w:left w:val="single" w:sz="4" w:space="0" w:color="auto"/>
              <w:bottom w:val="single" w:sz="4" w:space="0" w:color="auto"/>
              <w:right w:val="single" w:sz="4" w:space="0" w:color="auto"/>
            </w:tcBorders>
            <w:vAlign w:val="center"/>
          </w:tcPr>
          <w:p w:rsidR="00004F40" w:rsidRDefault="00537043">
            <w:pPr>
              <w:widowControl/>
              <w:spacing w:before="120"/>
              <w:jc w:val="center"/>
              <w:rPr>
                <w:rFonts w:ascii="楷体_GB2312" w:eastAsia="楷体_GB2312"/>
                <w:szCs w:val="24"/>
              </w:rPr>
            </w:pPr>
            <w:r>
              <w:rPr>
                <w:rFonts w:ascii="楷体_GB2312" w:eastAsia="楷体_GB2312" w:hint="eastAsia"/>
                <w:szCs w:val="24"/>
              </w:rPr>
              <w:t>既有专家评定结论</w:t>
            </w:r>
          </w:p>
        </w:tc>
        <w:tc>
          <w:tcPr>
            <w:tcW w:w="2383" w:type="dxa"/>
            <w:tcBorders>
              <w:top w:val="single" w:sz="4" w:space="0" w:color="auto"/>
              <w:left w:val="single" w:sz="4" w:space="0" w:color="auto"/>
              <w:bottom w:val="single" w:sz="4" w:space="0" w:color="auto"/>
              <w:right w:val="single" w:sz="4" w:space="0" w:color="auto"/>
            </w:tcBorders>
            <w:vAlign w:val="center"/>
          </w:tcPr>
          <w:p w:rsidR="00004F40" w:rsidRDefault="00537043">
            <w:pPr>
              <w:widowControl/>
              <w:spacing w:before="120"/>
              <w:jc w:val="center"/>
              <w:rPr>
                <w:rFonts w:ascii="仿宋" w:eastAsia="仿宋" w:hAnsi="仿宋" w:cs="仿宋"/>
                <w:kern w:val="0"/>
                <w:szCs w:val="24"/>
              </w:rPr>
            </w:pPr>
            <w:r>
              <w:rPr>
                <w:rFonts w:ascii="仿宋" w:eastAsia="仿宋" w:hAnsi="仿宋" w:cs="仿宋" w:hint="eastAsia"/>
                <w:kern w:val="0"/>
                <w:szCs w:val="24"/>
              </w:rPr>
              <w:t>通过/不通过</w:t>
            </w:r>
          </w:p>
        </w:tc>
        <w:tc>
          <w:tcPr>
            <w:tcW w:w="1267"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楷体_GB2312" w:eastAsia="楷体_GB2312"/>
                <w:szCs w:val="24"/>
              </w:rPr>
            </w:pPr>
            <w:r>
              <w:rPr>
                <w:rFonts w:ascii="楷体_GB2312" w:eastAsia="楷体_GB2312" w:hint="eastAsia"/>
                <w:szCs w:val="24"/>
              </w:rPr>
              <w:t>评定时间</w:t>
            </w:r>
          </w:p>
        </w:tc>
        <w:tc>
          <w:tcPr>
            <w:tcW w:w="2266"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楷体_GB2312" w:eastAsia="楷体_GB2312"/>
                <w:szCs w:val="24"/>
              </w:rPr>
            </w:pPr>
            <w:r>
              <w:rPr>
                <w:rFonts w:ascii="等线 Light" w:eastAsia="等线 Light" w:hAnsi="等线 Light" w:cs="等线 Light" w:hint="eastAsia"/>
                <w:szCs w:val="24"/>
              </w:rPr>
              <w:t>YYYY/MM/DD</w:t>
            </w:r>
          </w:p>
        </w:tc>
      </w:tr>
      <w:tr w:rsidR="00004F40">
        <w:trPr>
          <w:cantSplit/>
          <w:trHeight w:val="170"/>
        </w:trPr>
        <w:tc>
          <w:tcPr>
            <w:tcW w:w="2833"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楷体_GB2312" w:eastAsia="楷体_GB2312"/>
                <w:szCs w:val="24"/>
              </w:rPr>
            </w:pPr>
            <w:r>
              <w:rPr>
                <w:rFonts w:ascii="楷体_GB2312" w:eastAsia="楷体_GB2312" w:hint="eastAsia"/>
                <w:szCs w:val="24"/>
              </w:rPr>
              <w:t>申报联系人</w:t>
            </w:r>
          </w:p>
        </w:tc>
        <w:tc>
          <w:tcPr>
            <w:tcW w:w="2383" w:type="dxa"/>
            <w:tcBorders>
              <w:top w:val="single" w:sz="4" w:space="0" w:color="auto"/>
              <w:left w:val="single" w:sz="4" w:space="0" w:color="auto"/>
              <w:bottom w:val="single" w:sz="4" w:space="0" w:color="auto"/>
              <w:right w:val="single" w:sz="4" w:space="0" w:color="auto"/>
            </w:tcBorders>
            <w:vAlign w:val="center"/>
          </w:tcPr>
          <w:p w:rsidR="00004F40" w:rsidRDefault="00004F40">
            <w:pPr>
              <w:spacing w:before="120"/>
              <w:jc w:val="center"/>
              <w:rPr>
                <w:rFonts w:ascii="仿宋" w:eastAsia="仿宋" w:hAnsi="仿宋" w:cs="仿宋"/>
                <w:kern w:val="0"/>
                <w:szCs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楷体_GB2312" w:eastAsia="楷体_GB2312"/>
                <w:szCs w:val="24"/>
              </w:rPr>
            </w:pPr>
            <w:r>
              <w:rPr>
                <w:rFonts w:ascii="楷体_GB2312" w:eastAsia="楷体_GB2312" w:hint="eastAsia"/>
                <w:szCs w:val="24"/>
              </w:rPr>
              <w:t>手机</w:t>
            </w:r>
          </w:p>
        </w:tc>
        <w:tc>
          <w:tcPr>
            <w:tcW w:w="2266" w:type="dxa"/>
            <w:tcBorders>
              <w:top w:val="single" w:sz="4" w:space="0" w:color="auto"/>
              <w:left w:val="single" w:sz="4" w:space="0" w:color="auto"/>
              <w:bottom w:val="single" w:sz="4" w:space="0" w:color="auto"/>
              <w:right w:val="single" w:sz="4" w:space="0" w:color="auto"/>
            </w:tcBorders>
            <w:vAlign w:val="center"/>
          </w:tcPr>
          <w:p w:rsidR="00004F40" w:rsidRDefault="00004F40">
            <w:pPr>
              <w:spacing w:before="120"/>
              <w:jc w:val="center"/>
              <w:rPr>
                <w:rFonts w:ascii="等线 Light" w:eastAsia="等线 Light" w:hAnsi="等线 Light" w:cs="等线 Light"/>
                <w:szCs w:val="24"/>
              </w:rPr>
            </w:pPr>
          </w:p>
        </w:tc>
      </w:tr>
      <w:tr w:rsidR="00004F40">
        <w:trPr>
          <w:cantSplit/>
          <w:trHeight w:val="170"/>
        </w:trPr>
        <w:tc>
          <w:tcPr>
            <w:tcW w:w="2833" w:type="dxa"/>
            <w:tcBorders>
              <w:top w:val="single" w:sz="4" w:space="0" w:color="auto"/>
              <w:left w:val="single" w:sz="4" w:space="0" w:color="auto"/>
              <w:bottom w:val="single" w:sz="4" w:space="0" w:color="auto"/>
              <w:right w:val="single" w:sz="4" w:space="0" w:color="auto"/>
            </w:tcBorders>
            <w:vAlign w:val="center"/>
          </w:tcPr>
          <w:p w:rsidR="00004F40" w:rsidRDefault="00537043">
            <w:pPr>
              <w:widowControl/>
              <w:spacing w:before="120"/>
              <w:jc w:val="center"/>
              <w:rPr>
                <w:rFonts w:ascii="楷体_GB2312" w:eastAsia="楷体_GB2312"/>
                <w:szCs w:val="24"/>
              </w:rPr>
            </w:pPr>
            <w:r>
              <w:rPr>
                <w:rFonts w:ascii="楷体_GB2312" w:eastAsia="楷体_GB2312" w:hint="eastAsia"/>
                <w:szCs w:val="24"/>
              </w:rPr>
              <w:t>既有评定专家名单</w:t>
            </w:r>
          </w:p>
        </w:tc>
        <w:tc>
          <w:tcPr>
            <w:tcW w:w="5916" w:type="dxa"/>
            <w:gridSpan w:val="3"/>
            <w:tcBorders>
              <w:top w:val="single" w:sz="4" w:space="0" w:color="auto"/>
              <w:left w:val="single" w:sz="4" w:space="0" w:color="auto"/>
              <w:bottom w:val="single" w:sz="4" w:space="0" w:color="auto"/>
              <w:right w:val="single" w:sz="4" w:space="0" w:color="auto"/>
            </w:tcBorders>
            <w:vAlign w:val="center"/>
          </w:tcPr>
          <w:p w:rsidR="00004F40" w:rsidRDefault="00004F40">
            <w:pPr>
              <w:spacing w:before="120"/>
              <w:jc w:val="center"/>
              <w:rPr>
                <w:rFonts w:ascii="等线 Light" w:eastAsia="等线 Light" w:hAnsi="等线 Light" w:cs="等线 Light"/>
                <w:szCs w:val="24"/>
              </w:rPr>
            </w:pPr>
          </w:p>
        </w:tc>
      </w:tr>
      <w:tr w:rsidR="00004F40">
        <w:trPr>
          <w:cantSplit/>
          <w:trHeight w:val="170"/>
        </w:trPr>
        <w:tc>
          <w:tcPr>
            <w:tcW w:w="2833"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楷体_GB2312" w:eastAsia="楷体_GB2312"/>
                <w:szCs w:val="24"/>
              </w:rPr>
            </w:pPr>
            <w:r>
              <w:rPr>
                <w:rFonts w:ascii="楷体_GB2312" w:eastAsia="楷体_GB2312" w:hint="eastAsia"/>
                <w:szCs w:val="24"/>
              </w:rPr>
              <w:t>本次评价阶段</w:t>
            </w:r>
          </w:p>
        </w:tc>
        <w:tc>
          <w:tcPr>
            <w:tcW w:w="2383"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仿宋" w:eastAsia="仿宋" w:hAnsi="仿宋" w:cs="仿宋"/>
                <w:kern w:val="0"/>
                <w:szCs w:val="24"/>
              </w:rPr>
            </w:pPr>
            <w:r>
              <w:rPr>
                <w:rFonts w:ascii="仿宋" w:eastAsia="仿宋" w:hAnsi="仿宋" w:cs="仿宋" w:hint="eastAsia"/>
                <w:kern w:val="0"/>
                <w:szCs w:val="24"/>
              </w:rPr>
              <w:t>设计评价/竣工评价</w:t>
            </w:r>
          </w:p>
        </w:tc>
        <w:tc>
          <w:tcPr>
            <w:tcW w:w="1267"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楷体_GB2312" w:eastAsia="楷体_GB2312"/>
                <w:szCs w:val="24"/>
              </w:rPr>
            </w:pPr>
            <w:r>
              <w:rPr>
                <w:rFonts w:ascii="楷体_GB2312" w:eastAsia="楷体_GB2312" w:hint="eastAsia"/>
                <w:szCs w:val="24"/>
              </w:rPr>
              <w:t>组织单位</w:t>
            </w:r>
          </w:p>
        </w:tc>
        <w:tc>
          <w:tcPr>
            <w:tcW w:w="2266" w:type="dxa"/>
            <w:tcBorders>
              <w:top w:val="single" w:sz="4" w:space="0" w:color="auto"/>
              <w:left w:val="single" w:sz="4" w:space="0" w:color="auto"/>
              <w:bottom w:val="single" w:sz="4" w:space="0" w:color="auto"/>
              <w:right w:val="single" w:sz="4" w:space="0" w:color="auto"/>
            </w:tcBorders>
            <w:vAlign w:val="center"/>
          </w:tcPr>
          <w:p w:rsidR="00004F40" w:rsidRDefault="00004F40">
            <w:pPr>
              <w:spacing w:before="120"/>
              <w:jc w:val="center"/>
              <w:rPr>
                <w:rFonts w:ascii="楷体_GB2312" w:eastAsia="楷体_GB2312"/>
                <w:szCs w:val="24"/>
              </w:rPr>
            </w:pPr>
          </w:p>
        </w:tc>
      </w:tr>
      <w:tr w:rsidR="00004F40">
        <w:trPr>
          <w:cantSplit/>
          <w:trHeight w:val="170"/>
        </w:trPr>
        <w:tc>
          <w:tcPr>
            <w:tcW w:w="2833"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楷体_GB2312" w:eastAsia="楷体_GB2312"/>
                <w:szCs w:val="24"/>
              </w:rPr>
            </w:pPr>
            <w:r>
              <w:rPr>
                <w:rFonts w:ascii="楷体_GB2312" w:eastAsia="楷体_GB2312" w:hint="eastAsia"/>
                <w:szCs w:val="24"/>
              </w:rPr>
              <w:t>申报联系人</w:t>
            </w:r>
          </w:p>
        </w:tc>
        <w:tc>
          <w:tcPr>
            <w:tcW w:w="2383" w:type="dxa"/>
            <w:tcBorders>
              <w:top w:val="single" w:sz="4" w:space="0" w:color="auto"/>
              <w:left w:val="single" w:sz="4" w:space="0" w:color="auto"/>
              <w:bottom w:val="single" w:sz="4" w:space="0" w:color="auto"/>
              <w:right w:val="single" w:sz="4" w:space="0" w:color="auto"/>
            </w:tcBorders>
            <w:vAlign w:val="center"/>
          </w:tcPr>
          <w:p w:rsidR="00004F40" w:rsidRDefault="00004F40">
            <w:pPr>
              <w:spacing w:before="120"/>
              <w:jc w:val="center"/>
              <w:rPr>
                <w:rFonts w:ascii="仿宋" w:eastAsia="仿宋" w:hAnsi="仿宋" w:cs="仿宋"/>
                <w:kern w:val="0"/>
                <w:szCs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楷体_GB2312" w:eastAsia="楷体_GB2312"/>
                <w:szCs w:val="24"/>
              </w:rPr>
            </w:pPr>
            <w:r>
              <w:rPr>
                <w:rFonts w:ascii="楷体_GB2312" w:eastAsia="楷体_GB2312" w:hint="eastAsia"/>
                <w:szCs w:val="24"/>
              </w:rPr>
              <w:t>手机</w:t>
            </w:r>
          </w:p>
        </w:tc>
        <w:tc>
          <w:tcPr>
            <w:tcW w:w="2266" w:type="dxa"/>
            <w:tcBorders>
              <w:top w:val="single" w:sz="4" w:space="0" w:color="auto"/>
              <w:left w:val="single" w:sz="4" w:space="0" w:color="auto"/>
              <w:bottom w:val="single" w:sz="4" w:space="0" w:color="auto"/>
              <w:right w:val="single" w:sz="4" w:space="0" w:color="auto"/>
            </w:tcBorders>
            <w:vAlign w:val="center"/>
          </w:tcPr>
          <w:p w:rsidR="00004F40" w:rsidRDefault="00004F40">
            <w:pPr>
              <w:spacing w:before="120"/>
              <w:jc w:val="center"/>
              <w:rPr>
                <w:rFonts w:ascii="楷体_GB2312" w:eastAsia="楷体_GB2312"/>
                <w:szCs w:val="24"/>
              </w:rPr>
            </w:pPr>
          </w:p>
        </w:tc>
      </w:tr>
      <w:tr w:rsidR="00004F40">
        <w:trPr>
          <w:cantSplit/>
          <w:trHeight w:val="170"/>
        </w:trPr>
        <w:tc>
          <w:tcPr>
            <w:tcW w:w="2833"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楷体_GB2312" w:eastAsia="楷体_GB2312"/>
                <w:szCs w:val="24"/>
              </w:rPr>
            </w:pPr>
            <w:r>
              <w:rPr>
                <w:rFonts w:ascii="楷体_GB2312" w:eastAsia="楷体_GB2312" w:hint="eastAsia"/>
                <w:szCs w:val="24"/>
              </w:rPr>
              <w:t>其他信息</w:t>
            </w:r>
          </w:p>
        </w:tc>
        <w:tc>
          <w:tcPr>
            <w:tcW w:w="2383" w:type="dxa"/>
            <w:tcBorders>
              <w:top w:val="single" w:sz="4" w:space="0" w:color="auto"/>
              <w:left w:val="single" w:sz="4" w:space="0" w:color="auto"/>
              <w:bottom w:val="single" w:sz="4" w:space="0" w:color="auto"/>
              <w:right w:val="single" w:sz="4" w:space="0" w:color="auto"/>
            </w:tcBorders>
            <w:vAlign w:val="center"/>
          </w:tcPr>
          <w:p w:rsidR="00004F40" w:rsidRDefault="00004F40">
            <w:pPr>
              <w:spacing w:before="120"/>
              <w:jc w:val="center"/>
              <w:rPr>
                <w:rFonts w:ascii="仿宋" w:eastAsia="仿宋" w:hAnsi="仿宋" w:cs="仿宋"/>
                <w:kern w:val="0"/>
                <w:szCs w:val="24"/>
              </w:rPr>
            </w:pPr>
          </w:p>
        </w:tc>
        <w:tc>
          <w:tcPr>
            <w:tcW w:w="1267"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楷体_GB2312" w:eastAsia="楷体_GB2312"/>
                <w:szCs w:val="24"/>
              </w:rPr>
            </w:pPr>
            <w:r>
              <w:rPr>
                <w:rFonts w:ascii="楷体_GB2312" w:eastAsia="楷体_GB2312" w:hint="eastAsia"/>
                <w:szCs w:val="24"/>
              </w:rPr>
              <w:t>填表时间</w:t>
            </w:r>
          </w:p>
        </w:tc>
        <w:tc>
          <w:tcPr>
            <w:tcW w:w="2266"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jc w:val="center"/>
              <w:rPr>
                <w:rFonts w:ascii="楷体_GB2312" w:eastAsia="楷体_GB2312"/>
                <w:szCs w:val="24"/>
              </w:rPr>
            </w:pPr>
            <w:r>
              <w:rPr>
                <w:rFonts w:ascii="等线 Light" w:eastAsia="等线 Light" w:hAnsi="等线 Light" w:cs="等线 Light" w:hint="eastAsia"/>
                <w:szCs w:val="24"/>
              </w:rPr>
              <w:t>YYYY/MM/DD</w:t>
            </w:r>
          </w:p>
        </w:tc>
      </w:tr>
    </w:tbl>
    <w:p w:rsidR="00004F40" w:rsidRDefault="00537043">
      <w:pPr>
        <w:widowControl/>
        <w:spacing w:before="120"/>
        <w:jc w:val="left"/>
        <w:rPr>
          <w:rFonts w:ascii="楷体_GB2312" w:eastAsia="楷体_GB2312"/>
          <w:sz w:val="21"/>
          <w:szCs w:val="21"/>
        </w:rPr>
      </w:pPr>
      <w:r>
        <w:rPr>
          <w:rFonts w:ascii="楷体_GB2312" w:eastAsia="楷体_GB2312" w:hint="eastAsia"/>
          <w:sz w:val="21"/>
          <w:szCs w:val="21"/>
        </w:rPr>
        <w:t>注：申报单位应加盖公章</w:t>
      </w:r>
    </w:p>
    <w:p w:rsidR="00004F40" w:rsidRDefault="00537043">
      <w:pPr>
        <w:spacing w:before="120"/>
        <w:rPr>
          <w:b/>
          <w:sz w:val="32"/>
        </w:rPr>
      </w:pPr>
      <w:bookmarkStart w:id="40" w:name="_Toc19991_WPSOffice_Level1"/>
      <w:bookmarkStart w:id="41" w:name="_Toc2530_WPSOffice_Level1"/>
      <w:bookmarkStart w:id="42" w:name="_Toc24164_WPSOffice_Level1"/>
      <w:bookmarkStart w:id="43" w:name="_Toc18015_WPSOffice_Level1"/>
      <w:r>
        <w:rPr>
          <w:rFonts w:hint="eastAsia"/>
          <w:b/>
          <w:sz w:val="32"/>
        </w:rPr>
        <w:br w:type="page"/>
      </w:r>
    </w:p>
    <w:p w:rsidR="00004F40" w:rsidRDefault="00537043">
      <w:pPr>
        <w:spacing w:before="120"/>
        <w:jc w:val="center"/>
        <w:rPr>
          <w:b/>
          <w:sz w:val="32"/>
        </w:rPr>
      </w:pPr>
      <w:r>
        <w:rPr>
          <w:rFonts w:hint="eastAsia"/>
          <w:b/>
          <w:sz w:val="32"/>
        </w:rPr>
        <w:lastRenderedPageBreak/>
        <w:t>二、项目</w:t>
      </w:r>
      <w:bookmarkEnd w:id="40"/>
      <w:bookmarkEnd w:id="41"/>
      <w:bookmarkEnd w:id="42"/>
      <w:bookmarkEnd w:id="43"/>
      <w:r>
        <w:rPr>
          <w:rFonts w:hint="eastAsia"/>
          <w:b/>
          <w:sz w:val="32"/>
        </w:rPr>
        <w:t>特点及评价详细内容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7"/>
        <w:gridCol w:w="2187"/>
        <w:gridCol w:w="2187"/>
        <w:gridCol w:w="2187"/>
      </w:tblGrid>
      <w:tr w:rsidR="00004F40">
        <w:trPr>
          <w:trHeight w:val="581"/>
        </w:trPr>
        <w:tc>
          <w:tcPr>
            <w:tcW w:w="2187"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line="360" w:lineRule="auto"/>
              <w:ind w:firstLineChars="200" w:firstLine="480"/>
              <w:rPr>
                <w:rFonts w:ascii="仿宋" w:eastAsia="仿宋" w:hAnsi="仿宋"/>
                <w:szCs w:val="24"/>
              </w:rPr>
            </w:pPr>
            <w:r>
              <w:rPr>
                <w:rFonts w:ascii="楷体_GB2312" w:eastAsia="楷体_GB2312" w:hint="eastAsia"/>
                <w:szCs w:val="24"/>
              </w:rPr>
              <w:t>项目名称</w:t>
            </w:r>
          </w:p>
        </w:tc>
        <w:tc>
          <w:tcPr>
            <w:tcW w:w="2187" w:type="dxa"/>
            <w:tcBorders>
              <w:top w:val="single" w:sz="4" w:space="0" w:color="auto"/>
              <w:left w:val="single" w:sz="4" w:space="0" w:color="auto"/>
              <w:bottom w:val="single" w:sz="4" w:space="0" w:color="auto"/>
              <w:right w:val="single" w:sz="4" w:space="0" w:color="auto"/>
            </w:tcBorders>
            <w:vAlign w:val="center"/>
          </w:tcPr>
          <w:p w:rsidR="00004F40" w:rsidRDefault="00004F40">
            <w:pPr>
              <w:spacing w:before="120" w:line="360" w:lineRule="auto"/>
              <w:ind w:firstLineChars="200" w:firstLine="480"/>
              <w:rPr>
                <w:rFonts w:ascii="仿宋" w:eastAsia="仿宋" w:hAnsi="仿宋"/>
                <w:szCs w:val="24"/>
              </w:rPr>
            </w:pPr>
          </w:p>
        </w:tc>
        <w:tc>
          <w:tcPr>
            <w:tcW w:w="2187" w:type="dxa"/>
            <w:tcBorders>
              <w:top w:val="single" w:sz="4" w:space="0" w:color="auto"/>
              <w:left w:val="single" w:sz="4" w:space="0" w:color="auto"/>
              <w:bottom w:val="single" w:sz="4" w:space="0" w:color="auto"/>
              <w:right w:val="single" w:sz="4" w:space="0" w:color="auto"/>
            </w:tcBorders>
            <w:vAlign w:val="center"/>
          </w:tcPr>
          <w:p w:rsidR="00004F40" w:rsidRDefault="00537043">
            <w:pPr>
              <w:spacing w:before="120" w:line="360" w:lineRule="auto"/>
              <w:ind w:firstLineChars="200" w:firstLine="480"/>
              <w:rPr>
                <w:rFonts w:ascii="仿宋" w:eastAsia="仿宋" w:hAnsi="仿宋"/>
                <w:szCs w:val="24"/>
              </w:rPr>
            </w:pPr>
            <w:r>
              <w:rPr>
                <w:rFonts w:ascii="楷体_GB2312" w:eastAsia="楷体_GB2312" w:hint="eastAsia"/>
                <w:szCs w:val="24"/>
              </w:rPr>
              <w:t>自评总得分</w:t>
            </w:r>
          </w:p>
        </w:tc>
        <w:tc>
          <w:tcPr>
            <w:tcW w:w="2187" w:type="dxa"/>
            <w:tcBorders>
              <w:top w:val="single" w:sz="4" w:space="0" w:color="auto"/>
              <w:left w:val="single" w:sz="4" w:space="0" w:color="auto"/>
              <w:bottom w:val="single" w:sz="4" w:space="0" w:color="auto"/>
              <w:right w:val="single" w:sz="4" w:space="0" w:color="auto"/>
            </w:tcBorders>
            <w:vAlign w:val="center"/>
          </w:tcPr>
          <w:p w:rsidR="00004F40" w:rsidRDefault="00004F40">
            <w:pPr>
              <w:spacing w:before="120" w:line="360" w:lineRule="auto"/>
              <w:ind w:firstLineChars="200" w:firstLine="480"/>
              <w:rPr>
                <w:rFonts w:ascii="仿宋" w:eastAsia="仿宋" w:hAnsi="仿宋"/>
                <w:szCs w:val="24"/>
              </w:rPr>
            </w:pPr>
          </w:p>
        </w:tc>
      </w:tr>
      <w:tr w:rsidR="00004F40">
        <w:trPr>
          <w:trHeight w:val="1124"/>
        </w:trPr>
        <w:tc>
          <w:tcPr>
            <w:tcW w:w="8748" w:type="dxa"/>
            <w:gridSpan w:val="4"/>
            <w:tcBorders>
              <w:top w:val="single" w:sz="4" w:space="0" w:color="auto"/>
              <w:left w:val="single" w:sz="4" w:space="0" w:color="auto"/>
              <w:bottom w:val="single" w:sz="4" w:space="0" w:color="auto"/>
              <w:right w:val="single" w:sz="4" w:space="0" w:color="auto"/>
            </w:tcBorders>
            <w:vAlign w:val="center"/>
          </w:tcPr>
          <w:p w:rsidR="00004F40" w:rsidRDefault="00537043">
            <w:pPr>
              <w:numPr>
                <w:ilvl w:val="0"/>
                <w:numId w:val="1"/>
              </w:numPr>
              <w:spacing w:before="120"/>
              <w:rPr>
                <w:rFonts w:ascii="楷体_GB2312" w:eastAsia="楷体_GB2312"/>
                <w:szCs w:val="24"/>
              </w:rPr>
            </w:pPr>
            <w:r>
              <w:rPr>
                <w:rFonts w:ascii="楷体_GB2312" w:eastAsia="楷体_GB2312" w:hint="eastAsia"/>
                <w:szCs w:val="24"/>
              </w:rPr>
              <w:t>项目特点（不超过500个汉字）</w:t>
            </w:r>
          </w:p>
          <w:p w:rsidR="00004F40" w:rsidRDefault="00537043">
            <w:pPr>
              <w:numPr>
                <w:ilvl w:val="0"/>
                <w:numId w:val="1"/>
              </w:numPr>
              <w:spacing w:before="120"/>
            </w:pPr>
            <w:r>
              <w:rPr>
                <w:rFonts w:ascii="楷体_GB2312" w:eastAsia="楷体_GB2312" w:hint="eastAsia"/>
                <w:szCs w:val="24"/>
              </w:rPr>
              <w:t>各项评价详细技术内容和特殊说明(依据自评分表内容)</w:t>
            </w:r>
          </w:p>
          <w:p w:rsidR="00004F40" w:rsidRDefault="00004F40">
            <w:pPr>
              <w:pStyle w:val="1"/>
              <w:spacing w:before="120"/>
              <w:rPr>
                <w:rFonts w:ascii="楷体_GB2312" w:eastAsia="楷体_GB2312"/>
                <w:szCs w:val="24"/>
              </w:rPr>
            </w:pPr>
          </w:p>
          <w:p w:rsidR="00004F40" w:rsidRDefault="00004F40">
            <w:pPr>
              <w:spacing w:before="120"/>
              <w:rPr>
                <w:rFonts w:ascii="楷体_GB2312" w:eastAsia="楷体_GB2312"/>
                <w:szCs w:val="24"/>
              </w:rPr>
            </w:pPr>
          </w:p>
          <w:p w:rsidR="00004F40" w:rsidRDefault="00004F40">
            <w:pPr>
              <w:pStyle w:val="1"/>
              <w:spacing w:before="120"/>
              <w:rPr>
                <w:rFonts w:ascii="楷体_GB2312" w:eastAsia="楷体_GB2312"/>
                <w:szCs w:val="24"/>
              </w:rPr>
            </w:pPr>
          </w:p>
          <w:p w:rsidR="00004F40" w:rsidRDefault="00004F40">
            <w:pPr>
              <w:spacing w:before="120"/>
              <w:rPr>
                <w:rFonts w:ascii="楷体_GB2312" w:eastAsia="楷体_GB2312"/>
                <w:szCs w:val="24"/>
              </w:rPr>
            </w:pPr>
          </w:p>
          <w:p w:rsidR="00004F40" w:rsidRDefault="00004F40">
            <w:pPr>
              <w:pStyle w:val="1"/>
              <w:spacing w:before="120"/>
              <w:rPr>
                <w:rFonts w:ascii="楷体_GB2312" w:eastAsia="楷体_GB2312"/>
                <w:szCs w:val="24"/>
              </w:rPr>
            </w:pPr>
          </w:p>
          <w:p w:rsidR="00004F40" w:rsidRDefault="00004F40">
            <w:pPr>
              <w:spacing w:before="120"/>
              <w:rPr>
                <w:rFonts w:ascii="楷体_GB2312" w:eastAsia="楷体_GB2312"/>
                <w:szCs w:val="24"/>
              </w:rPr>
            </w:pPr>
          </w:p>
          <w:p w:rsidR="00004F40" w:rsidRDefault="00004F40">
            <w:pPr>
              <w:pStyle w:val="1"/>
              <w:spacing w:before="120"/>
              <w:rPr>
                <w:rFonts w:ascii="楷体_GB2312" w:eastAsia="楷体_GB2312"/>
                <w:szCs w:val="24"/>
              </w:rPr>
            </w:pPr>
          </w:p>
          <w:p w:rsidR="00004F40" w:rsidRDefault="00004F40">
            <w:pPr>
              <w:spacing w:before="120"/>
              <w:rPr>
                <w:rFonts w:ascii="楷体_GB2312" w:eastAsia="楷体_GB2312"/>
                <w:szCs w:val="24"/>
              </w:rPr>
            </w:pPr>
          </w:p>
          <w:p w:rsidR="00004F40" w:rsidRDefault="00004F40">
            <w:pPr>
              <w:pStyle w:val="1"/>
              <w:spacing w:before="120"/>
              <w:rPr>
                <w:rFonts w:ascii="楷体_GB2312" w:eastAsia="楷体_GB2312"/>
                <w:szCs w:val="24"/>
              </w:rPr>
            </w:pPr>
          </w:p>
          <w:p w:rsidR="00004F40" w:rsidRDefault="00004F40">
            <w:pPr>
              <w:spacing w:before="120"/>
              <w:rPr>
                <w:rFonts w:ascii="楷体_GB2312" w:eastAsia="楷体_GB2312"/>
                <w:szCs w:val="24"/>
              </w:rPr>
            </w:pPr>
          </w:p>
          <w:p w:rsidR="00004F40" w:rsidRDefault="00004F40">
            <w:pPr>
              <w:pStyle w:val="1"/>
              <w:spacing w:before="120"/>
              <w:rPr>
                <w:rFonts w:ascii="楷体_GB2312" w:eastAsia="楷体_GB2312"/>
                <w:szCs w:val="24"/>
              </w:rPr>
            </w:pPr>
          </w:p>
          <w:p w:rsidR="00004F40" w:rsidRDefault="00004F40">
            <w:pPr>
              <w:spacing w:before="120"/>
              <w:rPr>
                <w:rFonts w:ascii="楷体_GB2312" w:eastAsia="楷体_GB2312"/>
                <w:szCs w:val="24"/>
              </w:rPr>
            </w:pPr>
          </w:p>
          <w:p w:rsidR="00004F40" w:rsidRDefault="00004F40">
            <w:pPr>
              <w:pStyle w:val="1"/>
              <w:spacing w:before="120"/>
              <w:rPr>
                <w:rFonts w:ascii="楷体_GB2312" w:eastAsia="楷体_GB2312"/>
                <w:szCs w:val="24"/>
              </w:rPr>
            </w:pPr>
          </w:p>
          <w:p w:rsidR="00004F40" w:rsidRDefault="00004F40">
            <w:pPr>
              <w:spacing w:before="120"/>
              <w:rPr>
                <w:rFonts w:ascii="楷体_GB2312" w:eastAsia="楷体_GB2312"/>
                <w:szCs w:val="24"/>
              </w:rPr>
            </w:pPr>
          </w:p>
          <w:p w:rsidR="00004F40" w:rsidRDefault="00004F40">
            <w:pPr>
              <w:pStyle w:val="1"/>
              <w:spacing w:before="120"/>
              <w:rPr>
                <w:rFonts w:ascii="楷体_GB2312" w:eastAsia="楷体_GB2312"/>
                <w:szCs w:val="24"/>
              </w:rPr>
            </w:pPr>
          </w:p>
          <w:p w:rsidR="00004F40" w:rsidRDefault="00004F40">
            <w:pPr>
              <w:pStyle w:val="1"/>
              <w:spacing w:before="120"/>
            </w:pPr>
          </w:p>
          <w:p w:rsidR="00004F40" w:rsidRDefault="00004F40">
            <w:pPr>
              <w:spacing w:before="120"/>
            </w:pPr>
          </w:p>
          <w:p w:rsidR="00004F40" w:rsidRDefault="00004F40">
            <w:pPr>
              <w:pStyle w:val="1"/>
              <w:spacing w:before="120"/>
            </w:pPr>
          </w:p>
          <w:p w:rsidR="00004F40" w:rsidRDefault="00004F40">
            <w:pPr>
              <w:spacing w:before="120"/>
            </w:pPr>
          </w:p>
          <w:p w:rsidR="00004F40" w:rsidRDefault="00004F40">
            <w:pPr>
              <w:spacing w:before="120" w:line="360" w:lineRule="auto"/>
              <w:ind w:firstLineChars="200" w:firstLine="480"/>
              <w:rPr>
                <w:rFonts w:ascii="仿宋" w:eastAsia="仿宋" w:hAnsi="仿宋"/>
                <w:szCs w:val="24"/>
              </w:rPr>
            </w:pPr>
          </w:p>
        </w:tc>
      </w:tr>
    </w:tbl>
    <w:p w:rsidR="00004F40" w:rsidRDefault="00537043">
      <w:pPr>
        <w:pStyle w:val="10"/>
      </w:pPr>
      <w:bookmarkStart w:id="44" w:name="_Toc1865203379"/>
      <w:r>
        <w:rPr>
          <w:rFonts w:ascii="黑体" w:eastAsia="黑体" w:hAnsi="黑体" w:cs="黑体"/>
          <w:sz w:val="28"/>
        </w:rPr>
        <w:lastRenderedPageBreak/>
        <w:t>附录</w:t>
      </w:r>
      <w:r>
        <w:rPr>
          <w:rFonts w:ascii="黑体" w:eastAsia="黑体" w:hAnsi="黑体" w:cs="黑体" w:hint="eastAsia"/>
          <w:sz w:val="28"/>
        </w:rPr>
        <w:t>4 “智慧+品质”住宅实施标准</w:t>
      </w:r>
      <w:bookmarkEnd w:id="44"/>
    </w:p>
    <w:p w:rsidR="00004F40" w:rsidRDefault="00537043">
      <w:pPr>
        <w:spacing w:before="120"/>
        <w:jc w:val="center"/>
        <w:rPr>
          <w:b/>
          <w:sz w:val="36"/>
          <w:szCs w:val="36"/>
        </w:rPr>
      </w:pPr>
      <w:r>
        <w:rPr>
          <w:rFonts w:hint="eastAsia"/>
          <w:b/>
          <w:sz w:val="36"/>
          <w:szCs w:val="36"/>
        </w:rPr>
        <w:t>“智慧</w:t>
      </w:r>
      <w:r>
        <w:rPr>
          <w:rFonts w:hint="eastAsia"/>
          <w:b/>
          <w:sz w:val="36"/>
          <w:szCs w:val="36"/>
        </w:rPr>
        <w:t>+</w:t>
      </w:r>
      <w:r>
        <w:rPr>
          <w:rFonts w:hint="eastAsia"/>
          <w:b/>
          <w:sz w:val="36"/>
          <w:szCs w:val="36"/>
        </w:rPr>
        <w:t>品质”住宅实施标准</w:t>
      </w:r>
    </w:p>
    <w:p w:rsidR="00004F40" w:rsidRDefault="00537043">
      <w:pPr>
        <w:spacing w:before="120" w:line="600" w:lineRule="exact"/>
        <w:ind w:firstLineChars="200" w:firstLine="560"/>
        <w:rPr>
          <w:sz w:val="28"/>
          <w:szCs w:val="28"/>
        </w:rPr>
      </w:pPr>
      <w:r>
        <w:rPr>
          <w:rFonts w:ascii="黑体" w:eastAsia="黑体" w:hAnsi="黑体" w:cs="黑体"/>
          <w:sz w:val="28"/>
          <w:szCs w:val="28"/>
        </w:rPr>
        <w:t>一、绿色建筑：</w:t>
      </w:r>
      <w:r>
        <w:rPr>
          <w:rFonts w:ascii="仿宋_GB2312" w:eastAsia="仿宋_GB2312" w:hAnsi="仿宋_GB2312" w:cs="仿宋_GB2312"/>
          <w:sz w:val="28"/>
          <w:szCs w:val="28"/>
        </w:rPr>
        <w:t>应符合《绿色建筑评价标准》(GB/T 50378-2019)等现行标准。</w:t>
      </w:r>
    </w:p>
    <w:p w:rsidR="00004F40" w:rsidRDefault="00537043">
      <w:pPr>
        <w:spacing w:before="120" w:line="600" w:lineRule="exact"/>
        <w:ind w:firstLineChars="200" w:firstLine="560"/>
        <w:rPr>
          <w:sz w:val="28"/>
          <w:szCs w:val="28"/>
        </w:rPr>
      </w:pPr>
      <w:r>
        <w:rPr>
          <w:rFonts w:ascii="黑体" w:eastAsia="黑体" w:hAnsi="黑体" w:cs="黑体"/>
          <w:sz w:val="28"/>
          <w:szCs w:val="28"/>
        </w:rPr>
        <w:t>二、装配式建筑：</w:t>
      </w:r>
      <w:r>
        <w:rPr>
          <w:rFonts w:ascii="仿宋_GB2312" w:eastAsia="仿宋_GB2312" w:hAnsi="仿宋_GB2312" w:cs="仿宋_GB2312"/>
          <w:sz w:val="28"/>
          <w:szCs w:val="28"/>
        </w:rPr>
        <w:t>应符合《装配式建筑评价标准》（GB/T51129-2017）、(DBJ/T 15-163-2019)、（DB4401/T 151-2022）等现行标准。</w:t>
      </w:r>
    </w:p>
    <w:p w:rsidR="00004F40" w:rsidRDefault="00537043">
      <w:pPr>
        <w:spacing w:before="120" w:line="600" w:lineRule="exact"/>
        <w:ind w:firstLineChars="200" w:firstLine="560"/>
        <w:rPr>
          <w:sz w:val="28"/>
          <w:szCs w:val="28"/>
        </w:rPr>
      </w:pPr>
      <w:r>
        <w:rPr>
          <w:rFonts w:ascii="黑体" w:eastAsia="黑体" w:hAnsi="黑体" w:cs="黑体"/>
          <w:sz w:val="28"/>
          <w:szCs w:val="28"/>
        </w:rPr>
        <w:t>三、太阳能光伏或光热：</w:t>
      </w:r>
      <w:r>
        <w:rPr>
          <w:rFonts w:ascii="仿宋_GB2312" w:eastAsia="仿宋_GB2312" w:hAnsi="仿宋_GB2312" w:cs="仿宋_GB2312"/>
          <w:sz w:val="28"/>
          <w:szCs w:val="28"/>
        </w:rPr>
        <w:t>《建筑节能与可再生能源利用通用规范》(GB 55015-2021)等现行标准。</w:t>
      </w:r>
    </w:p>
    <w:p w:rsidR="00004F40" w:rsidRDefault="00537043">
      <w:pPr>
        <w:spacing w:before="120" w:line="600" w:lineRule="exact"/>
        <w:ind w:firstLineChars="200" w:firstLine="560"/>
        <w:rPr>
          <w:sz w:val="28"/>
          <w:szCs w:val="28"/>
        </w:rPr>
      </w:pPr>
      <w:r>
        <w:rPr>
          <w:rFonts w:ascii="黑体" w:eastAsia="黑体" w:hAnsi="黑体" w:cs="黑体"/>
          <w:sz w:val="28"/>
          <w:szCs w:val="28"/>
        </w:rPr>
        <w:t>四、健康建筑：</w:t>
      </w:r>
      <w:r>
        <w:rPr>
          <w:rFonts w:ascii="仿宋_GB2312" w:eastAsia="仿宋_GB2312" w:hAnsi="仿宋_GB2312" w:cs="仿宋_GB2312"/>
          <w:sz w:val="28"/>
          <w:szCs w:val="28"/>
        </w:rPr>
        <w:t>应符合《健康建筑评价标准》TASC 02</w:t>
      </w:r>
    </w:p>
    <w:p w:rsidR="00004F40" w:rsidRDefault="00537043">
      <w:pPr>
        <w:spacing w:before="120" w:line="600" w:lineRule="exact"/>
        <w:ind w:firstLineChars="200" w:firstLine="560"/>
        <w:rPr>
          <w:sz w:val="28"/>
          <w:szCs w:val="28"/>
        </w:rPr>
      </w:pPr>
      <w:r>
        <w:rPr>
          <w:rFonts w:ascii="黑体" w:eastAsia="黑体" w:hAnsi="黑体" w:cs="黑体"/>
          <w:sz w:val="28"/>
          <w:szCs w:val="28"/>
        </w:rPr>
        <w:t>五、数字家庭：</w:t>
      </w:r>
      <w:r>
        <w:rPr>
          <w:rFonts w:ascii="仿宋_GB2312" w:eastAsia="仿宋_GB2312" w:hAnsi="仿宋_GB2312" w:cs="仿宋_GB2312"/>
          <w:sz w:val="28"/>
          <w:szCs w:val="28"/>
        </w:rPr>
        <w:t>应符合《住宅用综合信息箱技术要求》（GB/T37142-2018）、《数字家庭建设评价标准》（T/ZSPH 02-2022T/OLA 1002-2022）等现行标准。</w:t>
      </w:r>
    </w:p>
    <w:p w:rsidR="00004F40" w:rsidRDefault="00537043">
      <w:pPr>
        <w:spacing w:before="120" w:line="600" w:lineRule="exact"/>
        <w:ind w:firstLineChars="200" w:firstLine="560"/>
        <w:rPr>
          <w:sz w:val="28"/>
          <w:szCs w:val="28"/>
        </w:rPr>
      </w:pPr>
      <w:r>
        <w:rPr>
          <w:rFonts w:ascii="黑体" w:eastAsia="黑体" w:hAnsi="黑体" w:cs="黑体"/>
          <w:sz w:val="28"/>
          <w:szCs w:val="28"/>
        </w:rPr>
        <w:t>六、智慧社区：</w:t>
      </w:r>
      <w:r>
        <w:rPr>
          <w:rFonts w:ascii="仿宋_GB2312" w:eastAsia="仿宋_GB2312" w:hAnsi="仿宋_GB2312" w:cs="仿宋_GB2312"/>
          <w:sz w:val="28"/>
          <w:szCs w:val="28"/>
        </w:rPr>
        <w:t>应符合《基于CIM的智慧社区建设、运营及评价指引（试行）》《智慧社区建设评价标准》（T/ZSPH 002—2018）《智慧建筑设计标准》等现行标准。</w:t>
      </w:r>
    </w:p>
    <w:p w:rsidR="00004F40" w:rsidRDefault="00537043">
      <w:pPr>
        <w:spacing w:before="120" w:line="600" w:lineRule="exact"/>
        <w:ind w:firstLineChars="200" w:firstLine="560"/>
        <w:rPr>
          <w:sz w:val="28"/>
          <w:szCs w:val="28"/>
        </w:rPr>
      </w:pPr>
      <w:r>
        <w:rPr>
          <w:rFonts w:ascii="黑体" w:eastAsia="黑体" w:hAnsi="黑体" w:cs="黑体"/>
          <w:sz w:val="28"/>
          <w:szCs w:val="28"/>
        </w:rPr>
        <w:t>七、宜居技术应用：</w:t>
      </w:r>
      <w:r>
        <w:rPr>
          <w:rFonts w:ascii="仿宋_GB2312" w:eastAsia="仿宋_GB2312" w:hAnsi="仿宋_GB2312" w:cs="仿宋_GB2312"/>
          <w:sz w:val="28"/>
          <w:szCs w:val="28"/>
        </w:rPr>
        <w:t>应在图纸等设计文件中予以落实，其中绿色建材应用还应在施工选材环节予以落实；外墙保温工程、屋面保温工程、防水工程、建筑门窗承诺质量保修期限应在商品房销售合同中载明。</w:t>
      </w:r>
    </w:p>
    <w:p w:rsidR="00004F40" w:rsidRDefault="00537043">
      <w:pPr>
        <w:spacing w:before="120" w:line="600" w:lineRule="exact"/>
        <w:ind w:firstLineChars="200" w:firstLine="560"/>
        <w:rPr>
          <w:sz w:val="28"/>
          <w:szCs w:val="28"/>
        </w:rPr>
      </w:pPr>
      <w:r>
        <w:rPr>
          <w:rFonts w:ascii="黑体" w:eastAsia="黑体" w:hAnsi="黑体" w:cs="黑体"/>
          <w:sz w:val="28"/>
          <w:szCs w:val="28"/>
        </w:rPr>
        <w:t>八、工程总承包模式：</w:t>
      </w:r>
      <w:r>
        <w:rPr>
          <w:rFonts w:ascii="仿宋_GB2312" w:eastAsia="仿宋_GB2312" w:hAnsi="仿宋_GB2312" w:cs="仿宋_GB2312"/>
          <w:sz w:val="28"/>
          <w:szCs w:val="28"/>
        </w:rPr>
        <w:t>应在工程承发包环节予以落实。</w:t>
      </w:r>
    </w:p>
    <w:p w:rsidR="00004F40" w:rsidRDefault="00537043">
      <w:pPr>
        <w:spacing w:before="120" w:line="600" w:lineRule="exact"/>
        <w:ind w:firstLineChars="200" w:firstLine="560"/>
        <w:rPr>
          <w:sz w:val="28"/>
          <w:szCs w:val="28"/>
        </w:rPr>
      </w:pPr>
      <w:r>
        <w:rPr>
          <w:rFonts w:ascii="黑体" w:eastAsia="黑体" w:hAnsi="黑体" w:cs="黑体"/>
          <w:sz w:val="28"/>
          <w:szCs w:val="28"/>
        </w:rPr>
        <w:t>九、建筑师负责制：</w:t>
      </w:r>
      <w:r>
        <w:rPr>
          <w:rFonts w:ascii="仿宋_GB2312" w:eastAsia="仿宋_GB2312" w:hAnsi="仿宋_GB2312" w:cs="仿宋_GB2312"/>
          <w:sz w:val="28"/>
          <w:szCs w:val="28"/>
        </w:rPr>
        <w:t>鼓励执行《广州市建筑师负责制试点实施工作方案》，协同咨询、设计、施工和运维，发挥建筑师专业优势和技术主导作用，传承和发展优秀建筑文化，鼓励设计创新。</w:t>
      </w:r>
    </w:p>
    <w:p w:rsidR="00004F40" w:rsidRDefault="00537043">
      <w:pPr>
        <w:spacing w:before="120" w:line="560" w:lineRule="exact"/>
        <w:ind w:firstLineChars="200" w:firstLine="560"/>
        <w:rPr>
          <w:sz w:val="28"/>
          <w:szCs w:val="28"/>
        </w:rPr>
      </w:pPr>
      <w:r>
        <w:rPr>
          <w:rFonts w:ascii="黑体" w:eastAsia="黑体" w:hAnsi="黑体" w:cs="黑体"/>
          <w:sz w:val="28"/>
          <w:szCs w:val="28"/>
        </w:rPr>
        <w:lastRenderedPageBreak/>
        <w:t>十、</w:t>
      </w:r>
      <w:r>
        <w:rPr>
          <w:rFonts w:ascii="Times New Roman" w:eastAsia="Times New Roman" w:hAnsi="Times New Roman" w:cs="Times New Roman"/>
          <w:sz w:val="28"/>
          <w:szCs w:val="28"/>
        </w:rPr>
        <w:t>BIM</w:t>
      </w:r>
      <w:r>
        <w:rPr>
          <w:rFonts w:ascii="黑体" w:eastAsia="黑体" w:hAnsi="黑体" w:cs="黑体"/>
          <w:sz w:val="28"/>
          <w:szCs w:val="28"/>
        </w:rPr>
        <w:t>技术：</w:t>
      </w:r>
      <w:r>
        <w:rPr>
          <w:rFonts w:ascii="仿宋_GB2312" w:eastAsia="仿宋_GB2312" w:hAnsi="仿宋_GB2312" w:cs="仿宋_GB2312"/>
          <w:sz w:val="28"/>
          <w:szCs w:val="28"/>
        </w:rPr>
        <w:t>应采用正向设计，且符合《广州市城市信息模型（CIM）平台建设试点工作联席会议办公室关于房屋建筑工程施工图三维（BIM）电子辅助审查系统正式试运行的通知》（穗建CIM〔2020〕6号）相关要求，鼓励应用国产化软件。</w:t>
      </w:r>
    </w:p>
    <w:p w:rsidR="00004F40" w:rsidRDefault="00004F40">
      <w:pPr>
        <w:spacing w:before="120" w:line="600" w:lineRule="exact"/>
      </w:pPr>
    </w:p>
    <w:p w:rsidR="00004F40" w:rsidRDefault="00004F40">
      <w:pPr>
        <w:spacing w:before="120"/>
      </w:pPr>
    </w:p>
    <w:p w:rsidR="00004F40" w:rsidRDefault="00004F40">
      <w:pPr>
        <w:spacing w:before="120" w:line="600" w:lineRule="exact"/>
        <w:rPr>
          <w:rFonts w:ascii="仿宋_GB2312" w:eastAsia="仿宋_GB2312"/>
          <w:szCs w:val="24"/>
        </w:rPr>
      </w:pPr>
    </w:p>
    <w:sectPr w:rsidR="00004F40">
      <w:footerReference w:type="default" r:id="rId15"/>
      <w:pgSz w:w="11905" w:h="16838"/>
      <w:pgMar w:top="1361" w:right="1247" w:bottom="1361"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376" w:rsidRDefault="00D32376">
      <w:pPr>
        <w:spacing w:before="120" w:line="240" w:lineRule="auto"/>
      </w:pPr>
      <w:r>
        <w:separator/>
      </w:r>
    </w:p>
  </w:endnote>
  <w:endnote w:type="continuationSeparator" w:id="0">
    <w:p w:rsidR="00D32376" w:rsidRDefault="00D32376">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仿宋_GBK">
    <w:altName w:val="微软雅黑"/>
    <w:charset w:val="86"/>
    <w:family w:val="auto"/>
    <w:pitch w:val="default"/>
    <w:sig w:usb0="00000000" w:usb1="08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F40" w:rsidRDefault="00004F40">
    <w:pPr>
      <w:pStyle w:val="a9"/>
      <w:spacing w:before="12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F40" w:rsidRDefault="00004F40">
    <w:pPr>
      <w:pStyle w:val="a9"/>
      <w:spacing w:before="12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F40" w:rsidRDefault="00004F40">
    <w:pPr>
      <w:pStyle w:val="a9"/>
      <w:spacing w:before="12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F40" w:rsidRDefault="00004F40">
    <w:pPr>
      <w:pStyle w:val="a9"/>
      <w:spacing w:before="12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F40" w:rsidRDefault="00537043">
    <w:pPr>
      <w:pStyle w:val="a9"/>
      <w:spacing w:before="120"/>
    </w:pPr>
    <w:r>
      <w:rPr>
        <w:noProof/>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04F40" w:rsidRDefault="00537043">
                          <w:pPr>
                            <w:pStyle w:val="a9"/>
                            <w:spacing w:before="1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FD45BE">
                            <w:rPr>
                              <w:rFonts w:ascii="方正仿宋_GBK" w:eastAsia="方正仿宋_GBK" w:hAnsi="方正仿宋_GBK" w:cs="方正仿宋_GBK"/>
                              <w:noProof/>
                              <w:sz w:val="28"/>
                              <w:szCs w:val="28"/>
                            </w:rPr>
                            <w:t>18</w:t>
                          </w:r>
                          <w:r>
                            <w:rPr>
                              <w:rFonts w:ascii="方正仿宋_GBK" w:eastAsia="方正仿宋_GBK" w:hAnsi="方正仿宋_GBK" w:cs="方正仿宋_GBK" w:hint="eastAsia"/>
                              <w:sz w:val="28"/>
                              <w:szCs w:val="28"/>
                            </w:rPr>
                            <w:fldChar w:fldCharType="end"/>
                          </w:r>
                          <w:r>
                            <w:rPr>
                              <w:rFonts w:ascii="方正仿宋_GBK" w:eastAsia="方正仿宋_GBK" w:hAnsi="方正仿宋_GBK" w:cs="方正仿宋_GBK"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0;margin-top:0;width:2in;height:2in;z-index:25165926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004F40" w:rsidRDefault="00537043">
                    <w:pPr>
                      <w:pStyle w:val="a9"/>
                      <w:spacing w:before="120"/>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z w:val="28"/>
                        <w:szCs w:val="28"/>
                      </w:rPr>
                      <w:fldChar w:fldCharType="begin"/>
                    </w:r>
                    <w:r>
                      <w:rPr>
                        <w:rFonts w:ascii="方正仿宋_GBK" w:eastAsia="方正仿宋_GBK" w:hAnsi="方正仿宋_GBK" w:cs="方正仿宋_GBK" w:hint="eastAsia"/>
                        <w:sz w:val="28"/>
                        <w:szCs w:val="28"/>
                      </w:rPr>
                      <w:instrText xml:space="preserve"> PAGE  \* MERGEFORMAT </w:instrText>
                    </w:r>
                    <w:r>
                      <w:rPr>
                        <w:rFonts w:ascii="方正仿宋_GBK" w:eastAsia="方正仿宋_GBK" w:hAnsi="方正仿宋_GBK" w:cs="方正仿宋_GBK" w:hint="eastAsia"/>
                        <w:sz w:val="28"/>
                        <w:szCs w:val="28"/>
                      </w:rPr>
                      <w:fldChar w:fldCharType="separate"/>
                    </w:r>
                    <w:r w:rsidR="00FD45BE">
                      <w:rPr>
                        <w:rFonts w:ascii="方正仿宋_GBK" w:eastAsia="方正仿宋_GBK" w:hAnsi="方正仿宋_GBK" w:cs="方正仿宋_GBK"/>
                        <w:noProof/>
                        <w:sz w:val="28"/>
                        <w:szCs w:val="28"/>
                      </w:rPr>
                      <w:t>18</w:t>
                    </w:r>
                    <w:r>
                      <w:rPr>
                        <w:rFonts w:ascii="方正仿宋_GBK" w:eastAsia="方正仿宋_GBK" w:hAnsi="方正仿宋_GBK" w:cs="方正仿宋_GBK" w:hint="eastAsia"/>
                        <w:sz w:val="28"/>
                        <w:szCs w:val="28"/>
                      </w:rPr>
                      <w:fldChar w:fldCharType="end"/>
                    </w:r>
                    <w:r>
                      <w:rPr>
                        <w:rFonts w:ascii="方正仿宋_GBK" w:eastAsia="方正仿宋_GBK" w:hAnsi="方正仿宋_GBK" w:cs="方正仿宋_GBK"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376" w:rsidRDefault="00D32376">
      <w:pPr>
        <w:spacing w:before="120" w:line="240" w:lineRule="auto"/>
      </w:pPr>
      <w:r>
        <w:separator/>
      </w:r>
    </w:p>
  </w:footnote>
  <w:footnote w:type="continuationSeparator" w:id="0">
    <w:p w:rsidR="00D32376" w:rsidRDefault="00D32376">
      <w:pPr>
        <w:spacing w:before="12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F40" w:rsidRDefault="00004F40">
    <w:pPr>
      <w:pStyle w:val="ab"/>
      <w:spacing w:before="12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F40" w:rsidRDefault="00004F40">
    <w:pPr>
      <w:pStyle w:val="ab"/>
      <w:pBdr>
        <w:bottom w:val="none" w:sz="0" w:space="1" w:color="auto"/>
      </w:pBdr>
      <w:spacing w:before="12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F40" w:rsidRDefault="00004F40">
    <w:pPr>
      <w:pStyle w:val="ab"/>
      <w:spacing w:before="12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8BA78E"/>
    <w:multiLevelType w:val="singleLevel"/>
    <w:tmpl w:val="5D8BA78E"/>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2ZDM3YmI0NWYzNWY0NTdiYjA2YjdlN2QzZWU4NDMifQ=="/>
  </w:docVars>
  <w:rsids>
    <w:rsidRoot w:val="007E47E3"/>
    <w:rsid w:val="9367094B"/>
    <w:rsid w:val="93C3F8F8"/>
    <w:rsid w:val="986FFE89"/>
    <w:rsid w:val="9FCF8B72"/>
    <w:rsid w:val="ABF5A7D9"/>
    <w:rsid w:val="ADF774E8"/>
    <w:rsid w:val="B37FC592"/>
    <w:rsid w:val="B4BFBDEB"/>
    <w:rsid w:val="B6DB40CA"/>
    <w:rsid w:val="B6F3FF76"/>
    <w:rsid w:val="B72E0ABD"/>
    <w:rsid w:val="B9DFF459"/>
    <w:rsid w:val="B9F70110"/>
    <w:rsid w:val="BCF3EABE"/>
    <w:rsid w:val="BDEF9942"/>
    <w:rsid w:val="BEDC886F"/>
    <w:rsid w:val="BEDFEAB7"/>
    <w:rsid w:val="BEFF1472"/>
    <w:rsid w:val="BFEFB11E"/>
    <w:rsid w:val="CB66E8D7"/>
    <w:rsid w:val="CCABAEAB"/>
    <w:rsid w:val="CDCEC29C"/>
    <w:rsid w:val="CDF7E053"/>
    <w:rsid w:val="CF9DA5C2"/>
    <w:rsid w:val="CFF74C0F"/>
    <w:rsid w:val="CFFE7F6F"/>
    <w:rsid w:val="D4FD2B04"/>
    <w:rsid w:val="D62FF1B2"/>
    <w:rsid w:val="D6F5301E"/>
    <w:rsid w:val="D7BF9327"/>
    <w:rsid w:val="D7FF3510"/>
    <w:rsid w:val="D836B7CD"/>
    <w:rsid w:val="D93B3BE4"/>
    <w:rsid w:val="D9AE3319"/>
    <w:rsid w:val="D9BEFEBF"/>
    <w:rsid w:val="DAA24000"/>
    <w:rsid w:val="DBFDADA1"/>
    <w:rsid w:val="DCAF5290"/>
    <w:rsid w:val="DDCB2A37"/>
    <w:rsid w:val="DDEF8171"/>
    <w:rsid w:val="DDFE2305"/>
    <w:rsid w:val="DE7C26E4"/>
    <w:rsid w:val="DF6E5F47"/>
    <w:rsid w:val="DFBB35B1"/>
    <w:rsid w:val="DFFC0886"/>
    <w:rsid w:val="DFFF4446"/>
    <w:rsid w:val="E1BB8C3D"/>
    <w:rsid w:val="E2FB592F"/>
    <w:rsid w:val="E4760CA8"/>
    <w:rsid w:val="E7FC21B8"/>
    <w:rsid w:val="EA7F1FE9"/>
    <w:rsid w:val="EDBED47E"/>
    <w:rsid w:val="EDD9AA2C"/>
    <w:rsid w:val="EDDB66CE"/>
    <w:rsid w:val="EDE7EBF3"/>
    <w:rsid w:val="EFAF9ECB"/>
    <w:rsid w:val="F2FD65F8"/>
    <w:rsid w:val="F527BB5B"/>
    <w:rsid w:val="F5B5A237"/>
    <w:rsid w:val="F69E432A"/>
    <w:rsid w:val="F76D1F12"/>
    <w:rsid w:val="F77F193B"/>
    <w:rsid w:val="F7CE6774"/>
    <w:rsid w:val="F7D170F6"/>
    <w:rsid w:val="F7EB47B5"/>
    <w:rsid w:val="F7FE043B"/>
    <w:rsid w:val="F7FFB520"/>
    <w:rsid w:val="F8FF04D2"/>
    <w:rsid w:val="F9D732DE"/>
    <w:rsid w:val="FAE39341"/>
    <w:rsid w:val="FAFCE45D"/>
    <w:rsid w:val="FB73CF3A"/>
    <w:rsid w:val="FB7FDB06"/>
    <w:rsid w:val="FBCF62A9"/>
    <w:rsid w:val="FBE56026"/>
    <w:rsid w:val="FBEFA29B"/>
    <w:rsid w:val="FBF53EC4"/>
    <w:rsid w:val="FBF771BA"/>
    <w:rsid w:val="FBFF5C2A"/>
    <w:rsid w:val="FCBF9A57"/>
    <w:rsid w:val="FD4E68B7"/>
    <w:rsid w:val="FD7FA90F"/>
    <w:rsid w:val="FD9DA2EE"/>
    <w:rsid w:val="FDB58235"/>
    <w:rsid w:val="FDBFA5BE"/>
    <w:rsid w:val="FDCBC0DF"/>
    <w:rsid w:val="FDDF7946"/>
    <w:rsid w:val="FDEFEF28"/>
    <w:rsid w:val="FDFD71EE"/>
    <w:rsid w:val="FDFF1D13"/>
    <w:rsid w:val="FDFFAF77"/>
    <w:rsid w:val="FE4F8AD6"/>
    <w:rsid w:val="FE5FA889"/>
    <w:rsid w:val="FE6F6881"/>
    <w:rsid w:val="FE771C4D"/>
    <w:rsid w:val="FEAF674B"/>
    <w:rsid w:val="FEDF2A77"/>
    <w:rsid w:val="FEEFAA21"/>
    <w:rsid w:val="FEEFC8F3"/>
    <w:rsid w:val="FF3D3D88"/>
    <w:rsid w:val="FF5E6735"/>
    <w:rsid w:val="FF5F641F"/>
    <w:rsid w:val="FF7317E7"/>
    <w:rsid w:val="FF8B574E"/>
    <w:rsid w:val="FFB7616E"/>
    <w:rsid w:val="FFC2734C"/>
    <w:rsid w:val="FFD330EA"/>
    <w:rsid w:val="FFD7E596"/>
    <w:rsid w:val="FFE66208"/>
    <w:rsid w:val="FFFB84A1"/>
    <w:rsid w:val="FFFBE8E8"/>
    <w:rsid w:val="FFFDDADE"/>
    <w:rsid w:val="FFFFCC59"/>
    <w:rsid w:val="00003DF9"/>
    <w:rsid w:val="00004F40"/>
    <w:rsid w:val="00020767"/>
    <w:rsid w:val="00021B79"/>
    <w:rsid w:val="000223C2"/>
    <w:rsid w:val="00023F2A"/>
    <w:rsid w:val="00033646"/>
    <w:rsid w:val="00080B7D"/>
    <w:rsid w:val="000D19AA"/>
    <w:rsid w:val="000D22F9"/>
    <w:rsid w:val="000D42D8"/>
    <w:rsid w:val="000E3BBC"/>
    <w:rsid w:val="00105EB5"/>
    <w:rsid w:val="00137635"/>
    <w:rsid w:val="00141B9B"/>
    <w:rsid w:val="001778D1"/>
    <w:rsid w:val="00177DF4"/>
    <w:rsid w:val="00194E88"/>
    <w:rsid w:val="001A18E1"/>
    <w:rsid w:val="001A42BC"/>
    <w:rsid w:val="001B1A8F"/>
    <w:rsid w:val="001B4D1D"/>
    <w:rsid w:val="0020572A"/>
    <w:rsid w:val="0021241A"/>
    <w:rsid w:val="00220766"/>
    <w:rsid w:val="00255023"/>
    <w:rsid w:val="002658BE"/>
    <w:rsid w:val="002A024B"/>
    <w:rsid w:val="002A7934"/>
    <w:rsid w:val="002C20DE"/>
    <w:rsid w:val="002D019C"/>
    <w:rsid w:val="002D02DA"/>
    <w:rsid w:val="002D24E3"/>
    <w:rsid w:val="002F5242"/>
    <w:rsid w:val="003371E1"/>
    <w:rsid w:val="003510D4"/>
    <w:rsid w:val="00394054"/>
    <w:rsid w:val="003E463F"/>
    <w:rsid w:val="003E63FA"/>
    <w:rsid w:val="003E67BB"/>
    <w:rsid w:val="003F1B13"/>
    <w:rsid w:val="003F4A8E"/>
    <w:rsid w:val="0041403C"/>
    <w:rsid w:val="0041486B"/>
    <w:rsid w:val="00450F93"/>
    <w:rsid w:val="00476454"/>
    <w:rsid w:val="004A0D16"/>
    <w:rsid w:val="004A4AC1"/>
    <w:rsid w:val="004C0B5E"/>
    <w:rsid w:val="004C5676"/>
    <w:rsid w:val="004D1488"/>
    <w:rsid w:val="004E5EBC"/>
    <w:rsid w:val="00502389"/>
    <w:rsid w:val="00537043"/>
    <w:rsid w:val="00572121"/>
    <w:rsid w:val="005B053F"/>
    <w:rsid w:val="005B5E94"/>
    <w:rsid w:val="005D292A"/>
    <w:rsid w:val="005D37E2"/>
    <w:rsid w:val="005E077C"/>
    <w:rsid w:val="00605630"/>
    <w:rsid w:val="006078FD"/>
    <w:rsid w:val="00611299"/>
    <w:rsid w:val="0061461C"/>
    <w:rsid w:val="00666529"/>
    <w:rsid w:val="00681CE6"/>
    <w:rsid w:val="00685760"/>
    <w:rsid w:val="00686FA1"/>
    <w:rsid w:val="006A2C96"/>
    <w:rsid w:val="006B082E"/>
    <w:rsid w:val="006B4E4E"/>
    <w:rsid w:val="006D0D2B"/>
    <w:rsid w:val="006D3B3A"/>
    <w:rsid w:val="006E3E0F"/>
    <w:rsid w:val="00773A49"/>
    <w:rsid w:val="00781E74"/>
    <w:rsid w:val="007B2C25"/>
    <w:rsid w:val="007D56FB"/>
    <w:rsid w:val="007E47E3"/>
    <w:rsid w:val="00801EEB"/>
    <w:rsid w:val="00846276"/>
    <w:rsid w:val="00871570"/>
    <w:rsid w:val="008727C8"/>
    <w:rsid w:val="00883A74"/>
    <w:rsid w:val="008A49C8"/>
    <w:rsid w:val="008B45F6"/>
    <w:rsid w:val="008C533B"/>
    <w:rsid w:val="008D0049"/>
    <w:rsid w:val="008D313A"/>
    <w:rsid w:val="00946C5C"/>
    <w:rsid w:val="00957EB0"/>
    <w:rsid w:val="00964C51"/>
    <w:rsid w:val="0097698B"/>
    <w:rsid w:val="0099303F"/>
    <w:rsid w:val="00996F7F"/>
    <w:rsid w:val="009A3705"/>
    <w:rsid w:val="009B11B2"/>
    <w:rsid w:val="009C7568"/>
    <w:rsid w:val="009D067E"/>
    <w:rsid w:val="009D19D0"/>
    <w:rsid w:val="00A14A6E"/>
    <w:rsid w:val="00A15719"/>
    <w:rsid w:val="00A25A5F"/>
    <w:rsid w:val="00A44AED"/>
    <w:rsid w:val="00A50466"/>
    <w:rsid w:val="00A5410D"/>
    <w:rsid w:val="00A80128"/>
    <w:rsid w:val="00A97397"/>
    <w:rsid w:val="00AA0271"/>
    <w:rsid w:val="00AB508E"/>
    <w:rsid w:val="00AB6525"/>
    <w:rsid w:val="00B008CB"/>
    <w:rsid w:val="00B10BD6"/>
    <w:rsid w:val="00B92682"/>
    <w:rsid w:val="00BB3004"/>
    <w:rsid w:val="00BB542F"/>
    <w:rsid w:val="00BC01E3"/>
    <w:rsid w:val="00BC3962"/>
    <w:rsid w:val="00BD12E1"/>
    <w:rsid w:val="00BD6A82"/>
    <w:rsid w:val="00C032EC"/>
    <w:rsid w:val="00C22D83"/>
    <w:rsid w:val="00C42C3E"/>
    <w:rsid w:val="00CD4069"/>
    <w:rsid w:val="00D01BB5"/>
    <w:rsid w:val="00D10ED1"/>
    <w:rsid w:val="00D1251D"/>
    <w:rsid w:val="00D32376"/>
    <w:rsid w:val="00D6349E"/>
    <w:rsid w:val="00D97663"/>
    <w:rsid w:val="00DB4250"/>
    <w:rsid w:val="00DF6877"/>
    <w:rsid w:val="00DF7C51"/>
    <w:rsid w:val="00E01234"/>
    <w:rsid w:val="00E23F88"/>
    <w:rsid w:val="00E54BE8"/>
    <w:rsid w:val="00E5761D"/>
    <w:rsid w:val="00E704E2"/>
    <w:rsid w:val="00E87131"/>
    <w:rsid w:val="00EB6E4F"/>
    <w:rsid w:val="00EB739F"/>
    <w:rsid w:val="00EC0D64"/>
    <w:rsid w:val="00ED4626"/>
    <w:rsid w:val="00ED5C3C"/>
    <w:rsid w:val="00EF3731"/>
    <w:rsid w:val="00EF5EE0"/>
    <w:rsid w:val="00F366C7"/>
    <w:rsid w:val="00F42C60"/>
    <w:rsid w:val="00F47258"/>
    <w:rsid w:val="00F62715"/>
    <w:rsid w:val="00F96B8D"/>
    <w:rsid w:val="00FA0D7E"/>
    <w:rsid w:val="00FC6321"/>
    <w:rsid w:val="00FD45BE"/>
    <w:rsid w:val="00FE2807"/>
    <w:rsid w:val="00FF1AB7"/>
    <w:rsid w:val="019B3634"/>
    <w:rsid w:val="01E742F2"/>
    <w:rsid w:val="01F31B0A"/>
    <w:rsid w:val="02E43775"/>
    <w:rsid w:val="030B2DFA"/>
    <w:rsid w:val="03FCD9A7"/>
    <w:rsid w:val="040F4C67"/>
    <w:rsid w:val="0421786C"/>
    <w:rsid w:val="057440DD"/>
    <w:rsid w:val="0820166E"/>
    <w:rsid w:val="0A544CC8"/>
    <w:rsid w:val="0CA80E22"/>
    <w:rsid w:val="0D202C0A"/>
    <w:rsid w:val="0E8C3B8D"/>
    <w:rsid w:val="0EBE2DFD"/>
    <w:rsid w:val="115FEE83"/>
    <w:rsid w:val="14675B4A"/>
    <w:rsid w:val="173166ED"/>
    <w:rsid w:val="17BE5B99"/>
    <w:rsid w:val="1BEF7E61"/>
    <w:rsid w:val="1DDF6C7B"/>
    <w:rsid w:val="1E0D0FBE"/>
    <w:rsid w:val="1EB77A75"/>
    <w:rsid w:val="1F7E758E"/>
    <w:rsid w:val="1FF564E2"/>
    <w:rsid w:val="1FFD29E0"/>
    <w:rsid w:val="1FFF7254"/>
    <w:rsid w:val="2CA305A7"/>
    <w:rsid w:val="2D85712B"/>
    <w:rsid w:val="2D95435A"/>
    <w:rsid w:val="2DCF0BDD"/>
    <w:rsid w:val="2E7B6480"/>
    <w:rsid w:val="2EF7A7CE"/>
    <w:rsid w:val="2FDF3958"/>
    <w:rsid w:val="2FDFBB4A"/>
    <w:rsid w:val="300F1EE7"/>
    <w:rsid w:val="31C75BFC"/>
    <w:rsid w:val="328B403F"/>
    <w:rsid w:val="3478B880"/>
    <w:rsid w:val="361E331E"/>
    <w:rsid w:val="36FC6649"/>
    <w:rsid w:val="37F46894"/>
    <w:rsid w:val="37FF76A0"/>
    <w:rsid w:val="399FF547"/>
    <w:rsid w:val="39E95F92"/>
    <w:rsid w:val="3A914FF9"/>
    <w:rsid w:val="3AB13B2B"/>
    <w:rsid w:val="3BEFF931"/>
    <w:rsid w:val="3BFAAE21"/>
    <w:rsid w:val="3BFF68A4"/>
    <w:rsid w:val="3C9F875D"/>
    <w:rsid w:val="3CEA4F51"/>
    <w:rsid w:val="3DFF6EDA"/>
    <w:rsid w:val="3E4E3AA3"/>
    <w:rsid w:val="3F380DE4"/>
    <w:rsid w:val="3F7B5205"/>
    <w:rsid w:val="3FB837C0"/>
    <w:rsid w:val="3FDE0B00"/>
    <w:rsid w:val="3FF5F535"/>
    <w:rsid w:val="40DC265F"/>
    <w:rsid w:val="427B4FC4"/>
    <w:rsid w:val="437C611B"/>
    <w:rsid w:val="43FD53EB"/>
    <w:rsid w:val="47444F8C"/>
    <w:rsid w:val="47E5A7FB"/>
    <w:rsid w:val="48E940D3"/>
    <w:rsid w:val="498A2D68"/>
    <w:rsid w:val="4BCF25D2"/>
    <w:rsid w:val="4BFF04F9"/>
    <w:rsid w:val="4CE967C8"/>
    <w:rsid w:val="4D775119"/>
    <w:rsid w:val="4FCA2278"/>
    <w:rsid w:val="4FEEBC03"/>
    <w:rsid w:val="51202F48"/>
    <w:rsid w:val="51707FCA"/>
    <w:rsid w:val="519A7A59"/>
    <w:rsid w:val="53EFAD59"/>
    <w:rsid w:val="544473A5"/>
    <w:rsid w:val="550B5550"/>
    <w:rsid w:val="55F1E55B"/>
    <w:rsid w:val="55FE42B1"/>
    <w:rsid w:val="568865C4"/>
    <w:rsid w:val="574963BF"/>
    <w:rsid w:val="579E3A28"/>
    <w:rsid w:val="57BC57BC"/>
    <w:rsid w:val="57E987E8"/>
    <w:rsid w:val="59F9E1ED"/>
    <w:rsid w:val="5A5654C0"/>
    <w:rsid w:val="5ACFC4B8"/>
    <w:rsid w:val="5AD167A8"/>
    <w:rsid w:val="5D5B1AAF"/>
    <w:rsid w:val="5DDFD327"/>
    <w:rsid w:val="5DFDCEA5"/>
    <w:rsid w:val="5E1F854F"/>
    <w:rsid w:val="5EB75041"/>
    <w:rsid w:val="5FA82139"/>
    <w:rsid w:val="5FE7B636"/>
    <w:rsid w:val="5FEBF654"/>
    <w:rsid w:val="5FEE94EE"/>
    <w:rsid w:val="5FF0E36D"/>
    <w:rsid w:val="5FF37C40"/>
    <w:rsid w:val="5FF7612C"/>
    <w:rsid w:val="5FFBEFA8"/>
    <w:rsid w:val="61720DC5"/>
    <w:rsid w:val="61DA0220"/>
    <w:rsid w:val="657EB8C3"/>
    <w:rsid w:val="664A109C"/>
    <w:rsid w:val="67FA37AE"/>
    <w:rsid w:val="6A225B47"/>
    <w:rsid w:val="6AF9611F"/>
    <w:rsid w:val="6B7F2829"/>
    <w:rsid w:val="6BEF11D8"/>
    <w:rsid w:val="6BEF2A17"/>
    <w:rsid w:val="6BF8D3FA"/>
    <w:rsid w:val="6C99D688"/>
    <w:rsid w:val="6DB32256"/>
    <w:rsid w:val="6DF6D623"/>
    <w:rsid w:val="6E738941"/>
    <w:rsid w:val="6EEA553E"/>
    <w:rsid w:val="6F883C3C"/>
    <w:rsid w:val="6FEFCFC0"/>
    <w:rsid w:val="6FFDE729"/>
    <w:rsid w:val="6FFFCE56"/>
    <w:rsid w:val="72847A87"/>
    <w:rsid w:val="735F2964"/>
    <w:rsid w:val="75204AC9"/>
    <w:rsid w:val="75B7B0B5"/>
    <w:rsid w:val="75BB8693"/>
    <w:rsid w:val="75FFB284"/>
    <w:rsid w:val="76F40583"/>
    <w:rsid w:val="77234FC3"/>
    <w:rsid w:val="77CFEFAA"/>
    <w:rsid w:val="77EB53BF"/>
    <w:rsid w:val="77FBECCA"/>
    <w:rsid w:val="785720EB"/>
    <w:rsid w:val="7A972004"/>
    <w:rsid w:val="7AEC562C"/>
    <w:rsid w:val="7B47340A"/>
    <w:rsid w:val="7BBA8936"/>
    <w:rsid w:val="7BBBA2E8"/>
    <w:rsid w:val="7BC31415"/>
    <w:rsid w:val="7BCFA75D"/>
    <w:rsid w:val="7BFBEE20"/>
    <w:rsid w:val="7BFF6EB0"/>
    <w:rsid w:val="7BFFFB1C"/>
    <w:rsid w:val="7C7F3CA9"/>
    <w:rsid w:val="7CFC263C"/>
    <w:rsid w:val="7D3B920B"/>
    <w:rsid w:val="7D5F85BC"/>
    <w:rsid w:val="7D97A6F2"/>
    <w:rsid w:val="7DBB08A4"/>
    <w:rsid w:val="7DFEF71E"/>
    <w:rsid w:val="7E73DCC7"/>
    <w:rsid w:val="7EAE4E4C"/>
    <w:rsid w:val="7EAFFA2D"/>
    <w:rsid w:val="7ED99E75"/>
    <w:rsid w:val="7EE3D5C6"/>
    <w:rsid w:val="7EFF721F"/>
    <w:rsid w:val="7F4A4D0D"/>
    <w:rsid w:val="7F7E7D1B"/>
    <w:rsid w:val="7F9EA4C7"/>
    <w:rsid w:val="7FBFD8EA"/>
    <w:rsid w:val="7FDCE8A7"/>
    <w:rsid w:val="7FDE5811"/>
    <w:rsid w:val="7FEEEF81"/>
    <w:rsid w:val="7FEF0A1C"/>
    <w:rsid w:val="7FF3FB3B"/>
    <w:rsid w:val="7FF883A3"/>
    <w:rsid w:val="7FFF39A2"/>
    <w:rsid w:val="7FFF5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9B4D1F-97E1-4C07-AC74-075FECF42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adjustRightInd w:val="0"/>
      <w:snapToGrid w:val="0"/>
      <w:spacing w:beforeLines="50" w:before="50" w:line="312" w:lineRule="auto"/>
      <w:jc w:val="both"/>
    </w:pPr>
    <w:rPr>
      <w:rFonts w:ascii="Arial" w:eastAsiaTheme="minorEastAsia" w:hAnsi="Arial" w:cstheme="minorBidi"/>
      <w:kern w:val="2"/>
      <w:sz w:val="24"/>
      <w:szCs w:val="22"/>
    </w:rPr>
  </w:style>
  <w:style w:type="paragraph" w:styleId="10">
    <w:name w:val="heading 1"/>
    <w:basedOn w:val="a"/>
    <w:next w:val="a"/>
    <w:uiPriority w:val="9"/>
    <w:qFormat/>
    <w:pPr>
      <w:keepNext/>
      <w:keepLines/>
      <w:spacing w:beforeLines="0" w:before="360" w:after="120" w:line="480" w:lineRule="auto"/>
      <w:outlineLvl w:val="0"/>
    </w:pPr>
    <w:rPr>
      <w:b/>
      <w:kern w:val="44"/>
      <w:sz w:val="44"/>
    </w:rPr>
  </w:style>
  <w:style w:type="paragraph" w:styleId="2">
    <w:name w:val="heading 2"/>
    <w:basedOn w:val="a"/>
    <w:next w:val="a"/>
    <w:uiPriority w:val="9"/>
    <w:unhideWhenUsed/>
    <w:qFormat/>
    <w:pPr>
      <w:keepNext/>
      <w:keepLines/>
      <w:spacing w:beforeLines="0" w:before="260" w:after="260" w:line="413" w:lineRule="auto"/>
      <w:outlineLvl w:val="1"/>
    </w:pPr>
    <w:rPr>
      <w:rFonts w:eastAsia="黑体"/>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uiPriority w:val="39"/>
    <w:qFormat/>
    <w:rPr>
      <w:rFonts w:ascii="Times New Roman" w:eastAsia="宋体" w:hAnsi="Times New Roman"/>
    </w:rPr>
  </w:style>
  <w:style w:type="paragraph" w:styleId="a3">
    <w:name w:val="annotation text"/>
    <w:basedOn w:val="a"/>
    <w:link w:val="a4"/>
    <w:uiPriority w:val="99"/>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pPr>
      <w:spacing w:before="0" w:line="240" w:lineRule="auto"/>
    </w:pPr>
    <w:rPr>
      <w:sz w:val="18"/>
      <w:szCs w:val="18"/>
    </w:rPr>
  </w:style>
  <w:style w:type="paragraph" w:styleId="a9">
    <w:name w:val="footer"/>
    <w:basedOn w:val="a"/>
    <w:link w:val="aa"/>
    <w:uiPriority w:val="99"/>
    <w:unhideWhenUsed/>
    <w:qFormat/>
    <w:pPr>
      <w:tabs>
        <w:tab w:val="center" w:pos="4153"/>
        <w:tab w:val="right" w:pos="8306"/>
      </w:tabs>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jc w:val="center"/>
    </w:pPr>
    <w:rPr>
      <w:sz w:val="18"/>
      <w:szCs w:val="18"/>
    </w:rPr>
  </w:style>
  <w:style w:type="paragraph" w:styleId="20">
    <w:name w:val="toc 2"/>
    <w:basedOn w:val="a"/>
    <w:next w:val="a"/>
    <w:uiPriority w:val="39"/>
    <w:semiHidden/>
    <w:unhideWhenUsed/>
    <w:qFormat/>
    <w:pPr>
      <w:ind w:leftChars="200" w:left="420"/>
    </w:pPr>
  </w:style>
  <w:style w:type="paragraph" w:styleId="ad">
    <w:name w:val="Normal (Web)"/>
    <w:basedOn w:val="a"/>
    <w:uiPriority w:val="99"/>
    <w:semiHidden/>
    <w:unhideWhenUsed/>
    <w:qFormat/>
    <w:pPr>
      <w:spacing w:before="0" w:beforeAutospacing="1" w:afterAutospacing="1"/>
      <w:jc w:val="left"/>
    </w:pPr>
    <w:rPr>
      <w:rFonts w:cs="Times New Roman"/>
      <w:kern w:val="0"/>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Pr>
      <w:i/>
    </w:rPr>
  </w:style>
  <w:style w:type="character" w:styleId="af2">
    <w:name w:val="annotation reference"/>
    <w:basedOn w:val="a0"/>
    <w:uiPriority w:val="99"/>
    <w:semiHidden/>
    <w:unhideWhenUsed/>
    <w:qFormat/>
    <w:rPr>
      <w:sz w:val="21"/>
      <w:szCs w:val="21"/>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styleId="af3">
    <w:name w:val="List Paragraph"/>
    <w:basedOn w:val="a"/>
    <w:uiPriority w:val="34"/>
    <w:qFormat/>
    <w:pPr>
      <w:ind w:firstLineChars="200" w:firstLine="420"/>
    </w:pPr>
  </w:style>
  <w:style w:type="character" w:customStyle="1" w:styleId="a6">
    <w:name w:val="日期 字符"/>
    <w:basedOn w:val="a0"/>
    <w:link w:val="a5"/>
    <w:uiPriority w:val="99"/>
    <w:semiHidden/>
    <w:qFormat/>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rPr>
      <w:rFonts w:asciiTheme="minorHAnsi" w:eastAsiaTheme="minorEastAsia" w:hAnsiTheme="minorHAnsi" w:cstheme="minorBidi"/>
    </w:rPr>
  </w:style>
  <w:style w:type="character" w:customStyle="1" w:styleId="a8">
    <w:name w:val="批注框文本 字符"/>
    <w:basedOn w:val="a0"/>
    <w:link w:val="a7"/>
    <w:uiPriority w:val="99"/>
    <w:semiHidden/>
    <w:qFormat/>
    <w:rPr>
      <w:rFonts w:ascii="Arial" w:hAnsi="Arial"/>
      <w:kern w:val="2"/>
      <w:sz w:val="18"/>
      <w:szCs w:val="18"/>
    </w:rPr>
  </w:style>
  <w:style w:type="character" w:customStyle="1" w:styleId="a4">
    <w:name w:val="批注文字 字符"/>
    <w:basedOn w:val="a0"/>
    <w:link w:val="a3"/>
    <w:uiPriority w:val="99"/>
    <w:qFormat/>
    <w:rPr>
      <w:rFonts w:ascii="Arial" w:eastAsiaTheme="minorEastAsia" w:hAnsi="Arial" w:cstheme="minorBidi"/>
      <w:kern w:val="2"/>
      <w:sz w:val="24"/>
      <w:szCs w:val="22"/>
    </w:rPr>
  </w:style>
  <w:style w:type="character" w:customStyle="1" w:styleId="af">
    <w:name w:val="批注主题 字符"/>
    <w:basedOn w:val="a4"/>
    <w:link w:val="ae"/>
    <w:uiPriority w:val="99"/>
    <w:semiHidden/>
    <w:qFormat/>
    <w:rPr>
      <w:rFonts w:ascii="Arial" w:eastAsiaTheme="minorEastAsia" w:hAnsi="Arial" w:cstheme="minorBidi"/>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2509</Words>
  <Characters>14303</Characters>
  <Application>Microsoft Office Word</Application>
  <DocSecurity>0</DocSecurity>
  <Lines>119</Lines>
  <Paragraphs>33</Paragraphs>
  <ScaleCrop>false</ScaleCrop>
  <Company>Microsoft</Company>
  <LinksUpToDate>false</LinksUpToDate>
  <CharactersWithSpaces>16779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CXL</dc:creator>
  <cp:lastModifiedBy>信息中心/电子政务部08/邓蔚楠</cp:lastModifiedBy>
  <cp:revision>51</cp:revision>
  <dcterms:created xsi:type="dcterms:W3CDTF">2023-04-26T13:32:00Z</dcterms:created>
  <dcterms:modified xsi:type="dcterms:W3CDTF">2023-06-19T03:57:00Z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9A2F050A143D4BBAA9704285D53E69F8_13</vt:lpwstr>
  </property>
</Properties>
</file>