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textAlignment w:val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广州市社会力量举办群众体育活动项目评审标准</w:t>
      </w:r>
    </w:p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76"/>
        <w:gridCol w:w="5202"/>
        <w:gridCol w:w="8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二级指标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评审标准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资质条件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（20分）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申报单位情况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1.具有承接政府群众体育活动项目的经验。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2.依法提交年度审计报告，近三年内无重大违法和安全责任事故记录。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3.建立党组织且开展党的建设。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承办经验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1.承办过国际级同类活动，每个活动加4分；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2.承办过省级、国家级同类活动，每个活动加3分；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3.承办过市级同类活动，每个活动加2分；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4.承办过区级同类活动，每个活动加1分。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累计不超过15分，以提供相关委托协议为准。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活动方案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（60）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社会效益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1.目标明确，具有良好发展前景。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2.具有良好社会影响力，推动大众广泛参与。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3.特色鲜明，形成品牌效应。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4.推动新兴项目发展。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5.具有项目培育规划，推动项目长期发展。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活动等级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1.活动指导单位或主办单位为国际级或国家级体育组织。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2.活动指导单位或主办单位为省级体育组织。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3.活动指导单位或主办单位为市级体育组织。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4.活动指导单位或主办单位为区级体育组织。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活动规模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活动直接参加人员1000人（含）以上。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活动直接参加人员800人（含）以上。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活动直接参加人员500人（含）以上。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活动直接参加人员300人（含）以上。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活动直接参加人员50人（含）以上。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组织保障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项目团队具备能承接群体活动项目策划、管理、执行能力的专业人员，以获得相关项目裁判员证、教练员证、社会体育指导员证、体育经纪人、财会从业资格证等资质证明为准，每个1分，累计不超过4分，以提供相关人员资质证书复印件、劳动合同书及购买社保证明为准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2.具有良好社会影响力，推动大众广泛参与。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3.设有竞赛、媒体、安全、医疗等组织机构。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4.有明确的职责分工。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新闻宣传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1.有完整的活动前、中、后期宣传计划。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2.有活动合作的主流媒体及配套宣传实施方案，对活动进行跟踪报道。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制定安全保障方案及应急处置预案，并承诺为活动购买公众责任险，为活动参与人员、工作人员、志愿者等相关人员购买人身意外险。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医疗保障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制定医务保障方案及应急处置预案。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场地保障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有与场地方签署的场地使用意向协议书。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经费保障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（20分）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经费预算（10分）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经费预算明细详实合理。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自筹资金投入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1.有活动自筹配套资金，占总资金50%（含50%）以上。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2.有活动自筹配套资金，占总资金40%-50%（含40%）。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3.有活动自筹配套资金，占总资金30%-40%（含30%）。 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4.有活动自筹配套资金，占总资金20%-30%（含20%）。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5.活动自筹配套资金占总资金20%以下，或无活动自筹配套资金。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特色创新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（10分）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项目创新性（3分）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在组织策划等方面有特色创新。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文化特色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能较好体现广州文化特色、地域特色和体育传统。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品牌赛事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（5分）</w:t>
            </w:r>
          </w:p>
        </w:tc>
        <w:tc>
          <w:tcPr>
            <w:tcW w:w="5202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已经连续三年（含）以上作为承办单位举办该项活动。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textAlignment w:val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备注：主管单位可根据工作任务和形势发展变化的需要，适时调整本《标准》的相关内容。</w:t>
      </w:r>
    </w:p>
    <w:p>
      <w:pPr>
        <w:adjustRightInd w:val="0"/>
        <w:snapToGrid w:val="0"/>
        <w:spacing w:line="42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textAlignment w:val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广州市群众体育活动效果评估标准</w:t>
      </w:r>
    </w:p>
    <w:tbl>
      <w:tblPr>
        <w:tblStyle w:val="3"/>
        <w:tblW w:w="10433" w:type="dxa"/>
        <w:tblInd w:w="-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993"/>
        <w:gridCol w:w="1076"/>
        <w:gridCol w:w="660"/>
        <w:gridCol w:w="1560"/>
        <w:gridCol w:w="4017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Header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一级指标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二级指标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三级指标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指标解释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评分标准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数据来源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安全举办(20)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必达指标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安全事故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考察承办单位安全保障的实施效果。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实行“ 一票否决”， 出现违反《大型群众性活动安全管理条例》（国务院令第505号）、《体育赛事活动管理办法》（国家体育总局令第25号）、《广东省大型群众性活动安全管理办法》（省人民政府令第210号）、省体育局《关于加强群众性体育赛事及活动安全工作的通知》（粤体群〔2016〕47号）及《广州市大型群众性活动安全管理规定》（市人民政府令第104号）规定，发生重大安全事故的，该项目效果评估得分为0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9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(8)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执行情况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考察承办单位安全保障方案的执行情况。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1.安全工作人员、设备等按照申报材料和安全保障方案配备充足，工作人员配备相应的识别标志（如着装、标牌、臂章等）；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2.取得公安等相关部门同意举办活动的许可；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3.活动现场人员、车辆等管理有序;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4.市民关于安全保障的满意度达到85%。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每满足一项，得2分，累计不超过8分。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9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医务保障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(8)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医务保障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执行情况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考察医务保障方案执行情况。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1.医务工作人员按照申报材料和医务保障方案配备充足，医务工作人员配备相应的识别标志（如着装、标牌、臂章等）；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2.落实疫情常态化防控措施；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3.医务保障设施确保正常使用，并有明显标识指引；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4.市民问卷关于医务保障的满意度达到85% ;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每满足一项，得2分，累计不超过8分。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5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保险保障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购买保险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考察承办单位购买保险情况。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1.为参与活动人员购买人身意外伤害保险，得2分。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2.为活动购买公众责任险，得2分。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规范举办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(60)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活动投入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(14)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组织人员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投入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考察承办单位对活动组织人员投入情况。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1.组织人员按照申报材料配备，数量充足、任务分工明确。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2.各主要环节负责人员明确 ，在活动过程中有效执行。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每满足一项，得2分，累计不超过4分。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自筹资金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投入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考察自筹资金举办活动情况，自筹资金包括承办单位投入的资金、获得赞助的物资，获得赞助场馆使用及其他资源置换等形式。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执行《广州市社会力量举办群众体育活动项目评审标准》中“自筹资金投入”项的评审标准。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活动完成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（17）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参与人数达成率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考察活动人数是否达到计划参加人数。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根据申报材料内容，达到目标值100%得满分，每降低1%，扣除1%权重分。参与人数低于目标值50%时，得0分。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执行情况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考察承办单位的活动执行整体情况。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活动的各项管理工作组织有序，有完整健全的实施流程，且没有重大失误。各阶段流程清晰，并执行规范，得满分。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每出现一个不规范或重大失误，扣2分，直至本级指标分值扣完为止。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场地布置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考察活动现场布置情况。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1.现场主背景板按要求显示有关字样；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2.按照实施方案进行现场布置；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每满足一项，得3分，累计不超过6分。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宣传推广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（17）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媒体报道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考察赛事活动媒体宣传投入情况。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采用多种方式进行活动的宣传报道，包括传统媒体和新媒体：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1.通过市级（含）以上主流媒体发布活动报道，每篇报道得1分，累计不超过6分；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2.制作时长30至60秒宣传短视频，每条1.5分，累计不超过3分；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3.制作时长2至5分钟专题回顾短片，3分。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活动报名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考察承办单位报名数据信息是否符合要求。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通过“广州市体育总会”或“群体通”平台报名，满足要求得满分。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材料报送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活动实施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计划报送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考察承办单位活动实施计划报送情况。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按主管单位要求按阶段报送活动实施计划，得3分。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新闻素材报送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考察承办单位新闻素材报送情况。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按照主管单位要求报送报名指引、新闻线索、新闻通稿、影像资料等新闻素材。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957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资金使用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资金规范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使用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考察承办单位财政资金使用规范情况。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按财政资金管理规定规范使用财政资金：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1.完全符合，得6分；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2.基本符合，得4分；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3.不符合，得0分。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市民体验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（20）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活动开展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活动形式多样性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考察活动形式的多样性。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现场提供市民体验、培训和推广等活动，每有一项得2分，累计不超过4分。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便民措施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考察承办单位对市民参加活动便利程度的保障情况。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采用多种方式为市民提供便民保障服务：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1.信息咨询；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2.报名指引；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3.交通便利；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4.补给充足；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5.其他服务。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每满足一项得1分，累计不超过6分。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5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参与人员满意度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考察参与人员对活动的评价情况。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达到85%得满分；每降低1%，扣除2%的权重分。满意度低于65%，得0分。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9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12345、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信访等投诉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考察承办单位服务保障的实施效果。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有关投诉部门接到关于该项目方面投诉，经查实属于有效投诉的，得0分。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组织核查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95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特色创新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（加分项10分）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活动创新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（加分项10分）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策划创新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考察承办单位对活动整体策划、开展形式的创新情况。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在组织、策划、成果、参与人群等方面有特色创新的，每有一项加1分，累计不超过5分。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5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文化特色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考察活动文化特色。</w:t>
            </w:r>
          </w:p>
        </w:tc>
        <w:tc>
          <w:tcPr>
            <w:tcW w:w="4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能较好地体现广州文化特色、体现广州地域体育传统文化特色的，5分。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查阅有关资料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现地检查</w:t>
            </w:r>
          </w:p>
          <w:p>
            <w:pPr>
              <w:adjustRightInd w:val="0"/>
              <w:snapToGrid w:val="0"/>
              <w:spacing w:line="42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满意度调查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auto"/>
        <w:textAlignment w:val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备注：主管单位可根据工作任务和形势发展变化的需要，适时调整本《标准》的相关内容。</w:t>
      </w:r>
    </w:p>
    <w:p>
      <w:pPr>
        <w:adjustRightInd w:val="0"/>
        <w:snapToGrid w:val="0"/>
        <w:spacing w:line="420" w:lineRule="auto"/>
        <w:rPr>
          <w:rFonts w:ascii="宋体" w:hAnsi="宋体" w:eastAsia="宋体" w:cs="宋体"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1701" w:right="1644" w:bottom="1701" w:left="1644" w:header="851" w:footer="992" w:gutter="0"/>
      <w:cols w:space="0" w:num="1"/>
      <w:titlePg/>
      <w:docGrid w:type="linesAndChars" w:linePitch="610" w:charSpace="-2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2862"/>
    <w:rsid w:val="006D3030"/>
    <w:rsid w:val="00D67BE8"/>
    <w:rsid w:val="04074581"/>
    <w:rsid w:val="14DC6C68"/>
    <w:rsid w:val="190A6858"/>
    <w:rsid w:val="2CE031D3"/>
    <w:rsid w:val="3CCC2F85"/>
    <w:rsid w:val="4D262862"/>
    <w:rsid w:val="4D400A68"/>
    <w:rsid w:val="644541B9"/>
    <w:rsid w:val="6D47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DB031-0EAF-441A-AEF8-141C90B66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592</Words>
  <Characters>3377</Characters>
  <Lines>28</Lines>
  <Paragraphs>7</Paragraphs>
  <TotalTime>11</TotalTime>
  <ScaleCrop>false</ScaleCrop>
  <LinksUpToDate>false</LinksUpToDate>
  <CharactersWithSpaces>3962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2021-11-04T08:31:00Z</dcterms:created>
  <dc:creator>zhangpf</dc:creator>
  <cp:lastModifiedBy>zhangpf</cp:lastModifiedBy>
  <dcterms:modified xsi:type="dcterms:W3CDTF">2021-11-04T09:20:38Z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