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黑体"/>
          <w:b/>
          <w:bCs/>
          <w:color w:val="auto"/>
          <w:sz w:val="32"/>
          <w:szCs w:val="32"/>
        </w:rPr>
        <w:t xml:space="preserve">附表3  </w:t>
      </w:r>
    </w:p>
    <w:p>
      <w:pPr>
        <w:widowControl/>
        <w:spacing w:line="500" w:lineRule="exact"/>
        <w:ind w:left="0" w:leftChars="0" w:firstLine="640" w:firstLineChars="200"/>
        <w:jc w:val="center"/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  <w:t>本港出海航道跨河电缆、桥梁和水底管线情况表</w:t>
      </w:r>
    </w:p>
    <w:bookmarkEnd w:id="0"/>
    <w:p>
      <w:pPr>
        <w:ind w:firstLine="356" w:firstLineChars="162"/>
        <w:rPr>
          <w:rFonts w:ascii="宋体" w:hAnsi="宋体" w:eastAsia="仿宋_GB2312"/>
          <w:color w:val="auto"/>
          <w:sz w:val="22"/>
        </w:rPr>
      </w:pPr>
    </w:p>
    <w:p>
      <w:pPr>
        <w:ind w:firstLine="390" w:firstLineChars="162"/>
        <w:rPr>
          <w:rFonts w:ascii="宋体" w:hAnsi="宋体" w:eastAsia="黑体"/>
          <w:b/>
          <w:color w:val="auto"/>
          <w:sz w:val="24"/>
        </w:rPr>
      </w:pPr>
      <w:r>
        <w:rPr>
          <w:rFonts w:hint="eastAsia" w:ascii="宋体" w:hAnsi="宋体" w:eastAsia="黑体"/>
          <w:b/>
          <w:color w:val="auto"/>
          <w:sz w:val="24"/>
        </w:rPr>
        <w:t>一、跨河电缆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80"/>
        <w:gridCol w:w="18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跨越航（水）道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跨河地点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种类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高度（m）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2"/>
              </w:rPr>
              <w:t>坭洲航道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沙仔围-坭洲拦江沙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高压电线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60</w:t>
            </w:r>
          </w:p>
        </w:tc>
      </w:tr>
    </w:tbl>
    <w:p>
      <w:pPr>
        <w:ind w:firstLine="356" w:firstLineChars="162"/>
        <w:rPr>
          <w:rFonts w:ascii="宋体" w:hAnsi="宋体" w:eastAsia="仿宋_GB2312"/>
          <w:color w:val="auto"/>
          <w:sz w:val="22"/>
        </w:rPr>
      </w:pPr>
    </w:p>
    <w:p>
      <w:pPr>
        <w:ind w:firstLine="390" w:firstLineChars="162"/>
        <w:rPr>
          <w:rFonts w:ascii="宋体" w:hAnsi="宋体" w:eastAsia="黑体"/>
          <w:b/>
          <w:color w:val="auto"/>
          <w:sz w:val="24"/>
        </w:rPr>
      </w:pPr>
      <w:r>
        <w:rPr>
          <w:rFonts w:hint="eastAsia" w:ascii="宋体" w:hAnsi="宋体" w:eastAsia="黑体"/>
          <w:b/>
          <w:color w:val="auto"/>
          <w:sz w:val="24"/>
        </w:rPr>
        <w:t>二、桥梁及隧道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20"/>
        <w:gridCol w:w="1650"/>
        <w:gridCol w:w="1346"/>
        <w:gridCol w:w="101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桥梁名称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跨（穿）越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航（水）道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通航孔尺度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黑体"/>
                <w:b/>
                <w:color w:val="auto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黑体"/>
                <w:b/>
                <w:color w:val="auto"/>
                <w:sz w:val="2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净高（m）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净宽（m）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跨度（m）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黑体"/>
                <w:b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  <w:t>虎门大桥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川鼻航道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60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300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888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主孔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蒲洲水道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40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270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副孔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  <w:t>珠江黄埔大桥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菠萝庙水道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55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280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副孔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大濠洲航道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60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469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主孔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  <w:t>港珠澳大桥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  <w:t>（隧道段）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伶仃航道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隧道埋深至设计最低通航水位以下29米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2810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4100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  <w:t>南沙大桥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坭洲航道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60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1659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1688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主孔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  <w:t>深中通道（在建）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伶仃航道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76.5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1520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1620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主孔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b/>
                <w:color w:val="auto"/>
                <w:sz w:val="22"/>
              </w:rPr>
              <w:t>深茂铁路（隧道段，在建）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川鼻航道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隧道埋深至1985高程基准面下73.6米（即设计最低通航水位下72.56米）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--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--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仿宋_GB2312" w:cs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2"/>
              </w:rPr>
              <w:t>--</w:t>
            </w:r>
          </w:p>
        </w:tc>
      </w:tr>
    </w:tbl>
    <w:p>
      <w:pPr>
        <w:snapToGrid w:val="0"/>
        <w:spacing w:line="240" w:lineRule="atLeast"/>
        <w:ind w:firstLine="356" w:firstLineChars="162"/>
        <w:rPr>
          <w:rFonts w:ascii="宋体" w:hAnsi="宋体" w:eastAsia="仿宋_GB2312"/>
          <w:color w:val="auto"/>
          <w:sz w:val="22"/>
        </w:rPr>
      </w:pPr>
    </w:p>
    <w:p>
      <w:pPr>
        <w:ind w:firstLine="390" w:firstLineChars="162"/>
        <w:rPr>
          <w:rFonts w:ascii="宋体" w:hAnsi="宋体" w:eastAsia="黑体"/>
          <w:b/>
          <w:color w:val="auto"/>
          <w:sz w:val="24"/>
        </w:rPr>
      </w:pPr>
      <w:r>
        <w:rPr>
          <w:rFonts w:hint="eastAsia" w:ascii="宋体" w:hAnsi="宋体" w:eastAsia="黑体"/>
          <w:b/>
          <w:color w:val="auto"/>
          <w:sz w:val="24"/>
        </w:rPr>
        <w:t>三、水底管线（</w:t>
      </w:r>
      <w:r>
        <w:rPr>
          <w:rFonts w:hint="eastAsia" w:ascii="宋体" w:hAnsi="宋体" w:eastAsia="楷体_GB2312"/>
          <w:b/>
          <w:color w:val="auto"/>
          <w:sz w:val="24"/>
        </w:rPr>
        <w:t>管线上下游各100米范围内为禁锚区</w:t>
      </w:r>
      <w:r>
        <w:rPr>
          <w:rFonts w:hint="eastAsia" w:ascii="宋体" w:hAnsi="宋体" w:eastAsia="黑体"/>
          <w:b/>
          <w:color w:val="auto"/>
          <w:sz w:val="24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620"/>
        <w:gridCol w:w="19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种类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穿越航（水）道、水域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珠江口水域段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路由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color w:val="auto"/>
                <w:sz w:val="22"/>
              </w:rPr>
              <w:t>埋   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22"/>
              </w:rPr>
              <w:t>崖13-1</w:t>
            </w:r>
          </w:p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sz w:val="22"/>
              </w:rPr>
              <w:t>气管线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天然气管线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青州航道、</w:t>
            </w:r>
          </w:p>
          <w:p>
            <w:pPr>
              <w:snapToGrid w:val="0"/>
              <w:spacing w:line="240" w:lineRule="atLeast"/>
              <w:ind w:firstLine="11" w:firstLineChars="5"/>
              <w:jc w:val="center"/>
              <w:rPr>
                <w:rFonts w:hint="eastAsia"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伶仃航道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海南-香港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伶仃航道范围内埋至理论深度基准面以下18米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2"/>
              </w:rPr>
              <w:t>联通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2"/>
              </w:rPr>
              <w:t>珠深光缆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通信光纤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伶仃洋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珠海-深圳宝安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主航道范围内埋至理论深度基准面以下17米，其余范围在河床下1.5-2.5米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仿宋_GB2312"/>
                <w:b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2"/>
              </w:rPr>
              <w:t>坭洲电缆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电缆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坭洲航道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江鸥沙-沙仔围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24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62612F7D"/>
    <w:rsid w:val="38DC37E0"/>
    <w:rsid w:val="444F4E6F"/>
    <w:rsid w:val="4F023446"/>
    <w:rsid w:val="626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</w:rPr>
  </w:style>
  <w:style w:type="character" w:customStyle="1" w:styleId="7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1690</Characters>
  <Lines>0</Lines>
  <Paragraphs>0</Paragraphs>
  <TotalTime>0</TotalTime>
  <ScaleCrop>false</ScaleCrop>
  <LinksUpToDate>false</LinksUpToDate>
  <CharactersWithSpaces>1708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2022-12-21T08:06:00Z</dcterms:created>
  <dc:creator>DD</dc:creator>
  <cp:lastModifiedBy>DD</cp:lastModifiedBy>
  <dcterms:modified xsi:type="dcterms:W3CDTF">2022-12-21T08:09:57Z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D05E00F1DC7E49BEA5C5448F62E906BE</vt:lpwstr>
  </property>
</Properties>
</file>