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ascii="Times New Roman" w:hAnsi="Times New Roman" w:cs="Times New Roman"/>
        </w:rPr>
        <w:t>Attachment 1</w:t>
      </w:r>
    </w:p>
    <w:p>
      <w:pPr>
        <w:jc w:val="center"/>
        <w:rPr>
          <w:rFonts w:ascii="Times New Roman" w:hAnsi="Times New Roman" w:cs="Times New Roman"/>
          <w:sz w:val="32"/>
        </w:rPr>
      </w:pPr>
      <w:r>
        <w:rPr>
          <w:rFonts w:ascii="Times New Roman" w:hAnsi="Times New Roman" w:cs="Times New Roman"/>
          <w:sz w:val="32"/>
        </w:rPr>
        <w:t>List of Charges for Imports and Exports at Guangzhou Ports</w:t>
      </w:r>
    </w:p>
    <w:p>
      <w:pPr>
        <w:jc w:val="center"/>
        <w:rPr>
          <w:rFonts w:ascii="Times New Roman" w:hAnsi="Times New Roman" w:eastAsia="方正小标宋简体" w:cs="Times New Roman"/>
          <w:sz w:val="32"/>
        </w:rPr>
      </w:pPr>
      <w:r>
        <w:rPr>
          <w:rFonts w:ascii="Times New Roman" w:hAnsi="Times New Roman" w:eastAsia="方正小标宋简体" w:cs="Times New Roman"/>
          <w:sz w:val="32"/>
        </w:rPr>
        <w:t>Administrative charges, government-managed funds</w:t>
      </w:r>
      <w:r>
        <w:rPr>
          <w:rFonts w:hint="eastAsia" w:ascii="Times New Roman" w:hAnsi="Times New Roman" w:eastAsia="方正小标宋简体" w:cs="Times New Roman"/>
          <w:sz w:val="32"/>
        </w:rPr>
        <w:t>,</w:t>
      </w:r>
      <w:r>
        <w:rPr>
          <w:rFonts w:ascii="Times New Roman" w:hAnsi="Times New Roman" w:eastAsia="方正小标宋简体" w:cs="Times New Roman"/>
          <w:sz w:val="32"/>
        </w:rPr>
        <w:t xml:space="preserve"> and business fees and charges set by the government (or set under its guidance)</w:t>
      </w:r>
      <w:bookmarkStart w:id="1" w:name="_GoBack"/>
      <w:bookmarkEnd w:id="1"/>
    </w:p>
    <w:tbl>
      <w:tblPr>
        <w:tblStyle w:val="3"/>
        <w:tblW w:w="16482" w:type="dxa"/>
        <w:jc w:val="right"/>
        <w:tblLayout w:type="fixed"/>
        <w:tblCellMar>
          <w:top w:w="0" w:type="dxa"/>
          <w:left w:w="108" w:type="dxa"/>
          <w:bottom w:w="0" w:type="dxa"/>
          <w:right w:w="108" w:type="dxa"/>
        </w:tblCellMar>
      </w:tblPr>
      <w:tblGrid>
        <w:gridCol w:w="874"/>
        <w:gridCol w:w="1559"/>
        <w:gridCol w:w="1134"/>
        <w:gridCol w:w="1395"/>
        <w:gridCol w:w="1275"/>
        <w:gridCol w:w="3567"/>
        <w:gridCol w:w="1134"/>
        <w:gridCol w:w="1559"/>
        <w:gridCol w:w="2104"/>
        <w:gridCol w:w="1865"/>
        <w:gridCol w:w="16"/>
      </w:tblGrid>
      <w:tr>
        <w:tblPrEx>
          <w:tblCellMar>
            <w:top w:w="0" w:type="dxa"/>
            <w:left w:w="108" w:type="dxa"/>
            <w:bottom w:w="0" w:type="dxa"/>
            <w:right w:w="108" w:type="dxa"/>
          </w:tblCellMar>
        </w:tblPrEx>
        <w:trPr>
          <w:trHeight w:val="1095" w:hRule="atLeast"/>
          <w:jc w:val="righ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Serial No.</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Project name</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Charging entity</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Charging standards</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Charging unit</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Service content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Charging form and basis</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Type of 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Classification</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0"/>
                <w:szCs w:val="28"/>
              </w:rPr>
              <w:t>Remark</w:t>
            </w:r>
          </w:p>
        </w:tc>
      </w:tr>
      <w:tr>
        <w:tblPrEx>
          <w:tblCellMar>
            <w:top w:w="0" w:type="dxa"/>
            <w:left w:w="108" w:type="dxa"/>
            <w:bottom w:w="0" w:type="dxa"/>
            <w:right w:w="108" w:type="dxa"/>
          </w:tblCellMar>
        </w:tblPrEx>
        <w:trPr>
          <w:gridAfter w:val="1"/>
          <w:wAfter w:w="16" w:type="dxa"/>
          <w:trHeight w:val="3720" w:hRule="atLeast"/>
          <w:jc w:val="righ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1</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Fund for vessel-induced oil pollution damage</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Guangzhou Maritime Safety Administration</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RMB 0.3/ton</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Ton</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xml:space="preserve">All owners of goods or </w:t>
            </w:r>
            <w:r>
              <w:rPr>
                <w:rFonts w:hint="eastAsia" w:ascii="Times New Roman" w:hAnsi="Times New Roman" w:eastAsia="宋体" w:cs="Times New Roman"/>
                <w:color w:val="000000"/>
                <w:kern w:val="0"/>
                <w:sz w:val="20"/>
                <w:szCs w:val="28"/>
              </w:rPr>
              <w:t xml:space="preserve">their </w:t>
            </w:r>
            <w:r>
              <w:rPr>
                <w:rFonts w:ascii="Times New Roman" w:hAnsi="Times New Roman" w:eastAsia="宋体" w:cs="Times New Roman"/>
                <w:color w:val="000000"/>
                <w:kern w:val="0"/>
                <w:sz w:val="20"/>
                <w:szCs w:val="28"/>
              </w:rPr>
              <w:t xml:space="preserve">agents who receive persistent oil </w:t>
            </w:r>
            <w:bookmarkStart w:id="0" w:name="OLE_LINK1"/>
            <w:r>
              <w:rPr>
                <w:rFonts w:hint="eastAsia" w:ascii="Times New Roman" w:hAnsi="Times New Roman" w:eastAsia="宋体" w:cs="Times New Roman"/>
                <w:color w:val="000000"/>
                <w:kern w:val="0"/>
                <w:sz w:val="20"/>
                <w:szCs w:val="28"/>
              </w:rPr>
              <w:t>substances</w:t>
            </w:r>
            <w:r>
              <w:rPr>
                <w:rFonts w:ascii="Times New Roman" w:hAnsi="Times New Roman" w:eastAsia="宋体" w:cs="Times New Roman"/>
                <w:color w:val="000000"/>
                <w:kern w:val="0"/>
                <w:sz w:val="20"/>
                <w:szCs w:val="28"/>
              </w:rPr>
              <w:t xml:space="preserve"> </w:t>
            </w:r>
            <w:bookmarkEnd w:id="0"/>
            <w:r>
              <w:rPr>
                <w:rFonts w:ascii="Times New Roman" w:hAnsi="Times New Roman" w:eastAsia="宋体" w:cs="Times New Roman"/>
                <w:color w:val="000000"/>
                <w:kern w:val="0"/>
                <w:sz w:val="20"/>
                <w:szCs w:val="28"/>
              </w:rPr>
              <w:t>(including crude oil, fuel oil, heavy diesel fuel, lubricating oil and other persistent hydrocarbon mineral oil) transported by sea from the waterway under the jurisdiction of the People’s Republic of China shall pay the fund for vessel-induced oil pollution damage in accordance with the provisions.</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C</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xml:space="preserve">Persistent oil </w:t>
            </w:r>
            <w:r>
              <w:rPr>
                <w:rFonts w:hint="eastAsia" w:ascii="Times New Roman" w:hAnsi="Times New Roman" w:eastAsia="宋体" w:cs="Times New Roman"/>
                <w:color w:val="000000"/>
                <w:kern w:val="0"/>
                <w:sz w:val="20"/>
                <w:szCs w:val="28"/>
              </w:rPr>
              <w:t xml:space="preserve">substances </w:t>
            </w:r>
            <w:r>
              <w:rPr>
                <w:rFonts w:ascii="Times New Roman" w:hAnsi="Times New Roman" w:eastAsia="宋体" w:cs="Times New Roman"/>
                <w:color w:val="000000"/>
                <w:kern w:val="0"/>
                <w:sz w:val="20"/>
                <w:szCs w:val="28"/>
              </w:rPr>
              <w:t>(including crude oil, fuel oil, heavy diesel fuel, lubricating oil and other persistent hydrocarbon mineral oil)</w:t>
            </w:r>
          </w:p>
        </w:tc>
        <w:tc>
          <w:tcPr>
            <w:tcW w:w="18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payers are owners of goods or their agents</w:t>
            </w:r>
          </w:p>
        </w:tc>
      </w:tr>
      <w:tr>
        <w:tblPrEx>
          <w:tblCellMar>
            <w:top w:w="0" w:type="dxa"/>
            <w:left w:w="108" w:type="dxa"/>
            <w:bottom w:w="0" w:type="dxa"/>
            <w:right w:w="108" w:type="dxa"/>
          </w:tblCellMar>
        </w:tblPrEx>
        <w:trPr>
          <w:trHeight w:val="4354" w:hRule="atLeast"/>
          <w:jc w:val="right"/>
        </w:trPr>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2</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Security charges of port facilities</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Port operators</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RMB 8/20 feet and RMB 12/40 feet</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(Loaded container) Container</w:t>
            </w:r>
          </w:p>
        </w:tc>
        <w:tc>
          <w:tcPr>
            <w:tcW w:w="3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hint="eastAsia" w:ascii="Times New Roman" w:hAnsi="Times New Roman" w:eastAsia="宋体" w:cs="Times New Roman"/>
                <w:color w:val="000000"/>
                <w:kern w:val="0"/>
                <w:sz w:val="20"/>
                <w:szCs w:val="28"/>
              </w:rPr>
              <w:t xml:space="preserve">For </w:t>
            </w:r>
            <w:r>
              <w:rPr>
                <w:rFonts w:ascii="Times New Roman" w:hAnsi="Times New Roman" w:eastAsia="宋体" w:cs="Times New Roman"/>
                <w:color w:val="000000"/>
                <w:kern w:val="0"/>
                <w:sz w:val="20"/>
                <w:szCs w:val="28"/>
              </w:rPr>
              <w:t xml:space="preserve">imports/exports and containers for foreign trade that are </w:t>
            </w:r>
            <w:r>
              <w:rPr>
                <w:rFonts w:hint="eastAsia" w:ascii="Times New Roman" w:hAnsi="Times New Roman" w:eastAsia="宋体" w:cs="Times New Roman"/>
                <w:color w:val="000000"/>
                <w:kern w:val="0"/>
                <w:sz w:val="20"/>
                <w:szCs w:val="28"/>
              </w:rPr>
              <w:t>loaded or discharged</w:t>
            </w:r>
            <w:r>
              <w:rPr>
                <w:rFonts w:ascii="Times New Roman" w:hAnsi="Times New Roman" w:eastAsia="宋体" w:cs="Times New Roman"/>
                <w:color w:val="000000"/>
                <w:kern w:val="0"/>
                <w:sz w:val="20"/>
                <w:szCs w:val="28"/>
              </w:rPr>
              <w:t xml:space="preserve"> through </w:t>
            </w:r>
            <w:r>
              <w:rPr>
                <w:rFonts w:hint="eastAsia" w:ascii="Times New Roman" w:hAnsi="Times New Roman" w:eastAsia="宋体" w:cs="Times New Roman"/>
                <w:color w:val="000000"/>
                <w:kern w:val="0"/>
                <w:sz w:val="20"/>
                <w:szCs w:val="28"/>
              </w:rPr>
              <w:t xml:space="preserve">a </w:t>
            </w:r>
            <w:r>
              <w:rPr>
                <w:rFonts w:ascii="Times New Roman" w:hAnsi="Times New Roman" w:eastAsia="宋体" w:cs="Times New Roman"/>
                <w:color w:val="000000"/>
                <w:kern w:val="0"/>
                <w:sz w:val="20"/>
                <w:szCs w:val="28"/>
              </w:rPr>
              <w:t>port</w:t>
            </w:r>
            <w:r>
              <w:rPr>
                <w:rFonts w:hint="eastAsia" w:ascii="Times New Roman" w:hAnsi="Times New Roman" w:eastAsia="宋体" w:cs="Times New Roman"/>
                <w:color w:val="000000"/>
                <w:kern w:val="0"/>
                <w:sz w:val="20"/>
                <w:szCs w:val="28"/>
              </w:rPr>
              <w:t>,</w:t>
            </w:r>
            <w:r>
              <w:rPr>
                <w:rFonts w:ascii="Times New Roman" w:hAnsi="Times New Roman" w:eastAsia="宋体" w:cs="Times New Roman"/>
                <w:color w:val="000000"/>
                <w:kern w:val="0"/>
                <w:sz w:val="20"/>
                <w:szCs w:val="28"/>
              </w:rPr>
              <w:t xml:space="preserve"> </w:t>
            </w:r>
            <w:r>
              <w:rPr>
                <w:rFonts w:hint="eastAsia" w:ascii="Times New Roman" w:hAnsi="Times New Roman" w:eastAsia="宋体" w:cs="Times New Roman"/>
                <w:color w:val="000000"/>
                <w:kern w:val="0"/>
                <w:sz w:val="20"/>
                <w:szCs w:val="28"/>
              </w:rPr>
              <w:t>p</w:t>
            </w:r>
            <w:r>
              <w:rPr>
                <w:rFonts w:ascii="Times New Roman" w:hAnsi="Times New Roman" w:eastAsia="宋体" w:cs="Times New Roman"/>
                <w:color w:val="000000"/>
                <w:kern w:val="0"/>
                <w:sz w:val="20"/>
                <w:szCs w:val="28"/>
              </w:rPr>
              <w:t xml:space="preserve">ort operators who have obtained the Security Compliance Certificate for Port Facilities shall collect the security charges of </w:t>
            </w:r>
            <w:r>
              <w:rPr>
                <w:rFonts w:hint="eastAsia" w:ascii="Times New Roman" w:hAnsi="Times New Roman" w:eastAsia="宋体" w:cs="Times New Roman"/>
                <w:color w:val="000000"/>
                <w:kern w:val="0"/>
                <w:sz w:val="20"/>
                <w:szCs w:val="28"/>
              </w:rPr>
              <w:t xml:space="preserve">port </w:t>
            </w:r>
            <w:r>
              <w:rPr>
                <w:rFonts w:ascii="Times New Roman" w:hAnsi="Times New Roman" w:eastAsia="宋体" w:cs="Times New Roman"/>
                <w:color w:val="000000"/>
                <w:kern w:val="0"/>
                <w:sz w:val="20"/>
                <w:szCs w:val="28"/>
              </w:rPr>
              <w:t xml:space="preserve">facilities </w:t>
            </w:r>
            <w:r>
              <w:rPr>
                <w:rFonts w:hint="eastAsia" w:ascii="Times New Roman" w:hAnsi="Times New Roman" w:eastAsia="宋体" w:cs="Times New Roman"/>
                <w:color w:val="000000"/>
                <w:kern w:val="0"/>
                <w:sz w:val="20"/>
                <w:szCs w:val="28"/>
              </w:rPr>
              <w:t>for entry</w:t>
            </w:r>
            <w:r>
              <w:rPr>
                <w:rFonts w:ascii="Times New Roman" w:hAnsi="Times New Roman" w:eastAsia="宋体" w:cs="Times New Roman"/>
                <w:color w:val="000000"/>
                <w:kern w:val="0"/>
                <w:sz w:val="20"/>
                <w:szCs w:val="28"/>
              </w:rPr>
              <w:t xml:space="preserve"> </w:t>
            </w:r>
            <w:r>
              <w:rPr>
                <w:rFonts w:hint="eastAsia" w:ascii="Times New Roman" w:hAnsi="Times New Roman" w:eastAsia="宋体" w:cs="Times New Roman"/>
                <w:color w:val="000000"/>
                <w:kern w:val="0"/>
                <w:sz w:val="20"/>
                <w:szCs w:val="28"/>
              </w:rPr>
              <w:t xml:space="preserve">and exit </w:t>
            </w:r>
            <w:r>
              <w:rPr>
                <w:rFonts w:ascii="Times New Roman" w:hAnsi="Times New Roman" w:eastAsia="宋体" w:cs="Times New Roman"/>
                <w:color w:val="000000"/>
                <w:kern w:val="0"/>
                <w:sz w:val="20"/>
                <w:szCs w:val="28"/>
              </w:rPr>
              <w:t xml:space="preserve">from the owners </w:t>
            </w:r>
            <w:r>
              <w:rPr>
                <w:rFonts w:hint="eastAsia" w:ascii="Times New Roman" w:hAnsi="Times New Roman" w:eastAsia="宋体" w:cs="Times New Roman"/>
                <w:color w:val="000000"/>
                <w:kern w:val="0"/>
                <w:sz w:val="20"/>
                <w:szCs w:val="28"/>
              </w:rPr>
              <w:t xml:space="preserve">of goods </w:t>
            </w:r>
            <w:r>
              <w:rPr>
                <w:rFonts w:ascii="Times New Roman" w:hAnsi="Times New Roman" w:eastAsia="宋体" w:cs="Times New Roman"/>
                <w:color w:val="000000"/>
                <w:kern w:val="0"/>
                <w:sz w:val="20"/>
                <w:szCs w:val="28"/>
              </w:rPr>
              <w:t xml:space="preserve">or </w:t>
            </w:r>
            <w:r>
              <w:rPr>
                <w:rFonts w:hint="eastAsia" w:ascii="Times New Roman" w:hAnsi="Times New Roman" w:eastAsia="宋体" w:cs="Times New Roman"/>
                <w:color w:val="000000"/>
                <w:kern w:val="0"/>
                <w:sz w:val="20"/>
                <w:szCs w:val="28"/>
              </w:rPr>
              <w:t xml:space="preserve">their </w:t>
            </w:r>
            <w:r>
              <w:rPr>
                <w:rFonts w:ascii="Times New Roman" w:hAnsi="Times New Roman" w:eastAsia="宋体" w:cs="Times New Roman"/>
                <w:color w:val="000000"/>
                <w:kern w:val="0"/>
                <w:sz w:val="20"/>
                <w:szCs w:val="28"/>
              </w:rPr>
              <w:t>agents at the rate specified in the Measures for Charging and Billing at Ports.</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B</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Loaded container</w:t>
            </w:r>
          </w:p>
        </w:tc>
        <w:tc>
          <w:tcPr>
            <w:tcW w:w="18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Non-standard containers other than 20-foot loaded containers and 40-foot loaded containers are charged at the rate for approximate container type; for less than container loads, security charges of port facilities are collected based on the actual weight tons or measurement tons of goods.</w:t>
            </w:r>
          </w:p>
        </w:tc>
      </w:tr>
      <w:tr>
        <w:tblPrEx>
          <w:tblCellMar>
            <w:top w:w="0" w:type="dxa"/>
            <w:left w:w="108" w:type="dxa"/>
            <w:bottom w:w="0" w:type="dxa"/>
            <w:right w:w="108" w:type="dxa"/>
          </w:tblCellMar>
        </w:tblPrEx>
        <w:trPr>
          <w:trHeight w:val="2031"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RMB 0.2/ton</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Weight ton or measurement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21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w:t>
            </w: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2565" w:hRule="atLeast"/>
          <w:jc w:val="right"/>
        </w:trPr>
        <w:tc>
          <w:tcPr>
            <w:tcW w:w="8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3</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Port dues on goods (foreign trade)</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Port operators</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34/20 feet and RMB 68/40 feet; export: RMB 17/20 feet and RMB 34/40 feet</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(Container) Container</w:t>
            </w:r>
          </w:p>
        </w:tc>
        <w:tc>
          <w:tcPr>
            <w:tcW w:w="3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hint="eastAsia" w:ascii="Times New Roman" w:hAnsi="Times New Roman" w:eastAsia="宋体" w:cs="Times New Roman"/>
                <w:color w:val="000000"/>
                <w:kern w:val="0"/>
                <w:sz w:val="20"/>
                <w:szCs w:val="28"/>
              </w:rPr>
              <w:t xml:space="preserve">For </w:t>
            </w:r>
            <w:r>
              <w:rPr>
                <w:rFonts w:ascii="Times New Roman" w:hAnsi="Times New Roman" w:eastAsia="宋体" w:cs="Times New Roman"/>
                <w:color w:val="000000"/>
                <w:kern w:val="0"/>
                <w:sz w:val="20"/>
                <w:szCs w:val="28"/>
              </w:rPr>
              <w:t xml:space="preserve">goods and containers that are </w:t>
            </w:r>
            <w:r>
              <w:rPr>
                <w:rFonts w:hint="eastAsia" w:ascii="Times New Roman" w:hAnsi="Times New Roman" w:eastAsia="宋体" w:cs="Times New Roman"/>
                <w:color w:val="000000"/>
                <w:kern w:val="0"/>
                <w:sz w:val="20"/>
                <w:szCs w:val="28"/>
              </w:rPr>
              <w:t>loaded or discharged</w:t>
            </w:r>
            <w:r>
              <w:rPr>
                <w:rFonts w:ascii="Times New Roman" w:hAnsi="Times New Roman" w:eastAsia="宋体" w:cs="Times New Roman"/>
                <w:color w:val="000000"/>
                <w:kern w:val="0"/>
                <w:sz w:val="20"/>
                <w:szCs w:val="28"/>
              </w:rPr>
              <w:t xml:space="preserve"> </w:t>
            </w:r>
            <w:r>
              <w:rPr>
                <w:rFonts w:hint="eastAsia" w:ascii="Times New Roman" w:hAnsi="Times New Roman" w:eastAsia="宋体" w:cs="Times New Roman"/>
                <w:color w:val="000000"/>
                <w:kern w:val="0"/>
                <w:sz w:val="20"/>
                <w:szCs w:val="28"/>
              </w:rPr>
              <w:t>through</w:t>
            </w:r>
            <w:r>
              <w:rPr>
                <w:rFonts w:ascii="Times New Roman" w:hAnsi="Times New Roman" w:eastAsia="宋体" w:cs="Times New Roman"/>
                <w:color w:val="000000"/>
                <w:kern w:val="0"/>
                <w:sz w:val="20"/>
                <w:szCs w:val="28"/>
              </w:rPr>
              <w:t xml:space="preserve"> </w:t>
            </w:r>
            <w:r>
              <w:rPr>
                <w:rFonts w:hint="eastAsia" w:ascii="Times New Roman" w:hAnsi="Times New Roman" w:eastAsia="宋体" w:cs="Times New Roman"/>
                <w:color w:val="000000"/>
                <w:kern w:val="0"/>
                <w:sz w:val="20"/>
                <w:szCs w:val="28"/>
              </w:rPr>
              <w:t xml:space="preserve">a </w:t>
            </w:r>
            <w:r>
              <w:rPr>
                <w:rFonts w:ascii="Times New Roman" w:hAnsi="Times New Roman" w:eastAsia="宋体" w:cs="Times New Roman"/>
                <w:color w:val="000000"/>
                <w:kern w:val="0"/>
                <w:sz w:val="20"/>
                <w:szCs w:val="28"/>
              </w:rPr>
              <w:t>port</w:t>
            </w:r>
            <w:r>
              <w:rPr>
                <w:rFonts w:hint="eastAsia" w:ascii="Times New Roman" w:hAnsi="Times New Roman" w:eastAsia="宋体" w:cs="Times New Roman"/>
                <w:color w:val="000000"/>
                <w:kern w:val="0"/>
                <w:sz w:val="20"/>
                <w:szCs w:val="28"/>
              </w:rPr>
              <w:t>, t</w:t>
            </w:r>
            <w:r>
              <w:rPr>
                <w:rFonts w:ascii="Times New Roman" w:hAnsi="Times New Roman" w:eastAsia="宋体" w:cs="Times New Roman"/>
                <w:color w:val="000000"/>
                <w:kern w:val="0"/>
                <w:sz w:val="20"/>
                <w:szCs w:val="28"/>
              </w:rPr>
              <w:t xml:space="preserve">he entities responsible for maintaining and managing port infrastructure such as breakwaters, waterways and anchorages </w:t>
            </w:r>
            <w:r>
              <w:rPr>
                <w:rFonts w:hint="eastAsia" w:ascii="Times New Roman" w:hAnsi="Times New Roman" w:eastAsia="宋体" w:cs="Times New Roman"/>
                <w:color w:val="000000"/>
                <w:kern w:val="0"/>
                <w:sz w:val="20"/>
                <w:szCs w:val="28"/>
              </w:rPr>
              <w:t xml:space="preserve">shall </w:t>
            </w:r>
            <w:r>
              <w:rPr>
                <w:rFonts w:ascii="Times New Roman" w:hAnsi="Times New Roman" w:eastAsia="宋体" w:cs="Times New Roman"/>
                <w:color w:val="000000"/>
                <w:kern w:val="0"/>
                <w:sz w:val="20"/>
                <w:szCs w:val="28"/>
              </w:rPr>
              <w:t xml:space="preserve">collect port dues from the owners or </w:t>
            </w:r>
            <w:r>
              <w:rPr>
                <w:rFonts w:hint="eastAsia" w:ascii="Times New Roman" w:hAnsi="Times New Roman" w:eastAsia="宋体" w:cs="Times New Roman"/>
                <w:color w:val="000000"/>
                <w:kern w:val="0"/>
                <w:sz w:val="20"/>
                <w:szCs w:val="28"/>
              </w:rPr>
              <w:t xml:space="preserve">their </w:t>
            </w:r>
            <w:r>
              <w:rPr>
                <w:rFonts w:ascii="Times New Roman" w:hAnsi="Times New Roman" w:eastAsia="宋体" w:cs="Times New Roman"/>
                <w:color w:val="000000"/>
                <w:kern w:val="0"/>
                <w:sz w:val="20"/>
                <w:szCs w:val="28"/>
              </w:rPr>
              <w:t>agents.</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A Document B Document E</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Containers and commodity boxes for  loading general goods</w:t>
            </w:r>
          </w:p>
        </w:tc>
        <w:tc>
          <w:tcPr>
            <w:tcW w:w="18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Port dues on goods to be retained by the local government are exempted, that is, 50% of the total amount of dues shall be collected according to the charging standards</w:t>
            </w:r>
          </w:p>
        </w:tc>
      </w:tr>
      <w:tr>
        <w:tblPrEx>
          <w:tblCellMar>
            <w:top w:w="0" w:type="dxa"/>
            <w:left w:w="108" w:type="dxa"/>
            <w:bottom w:w="0" w:type="dxa"/>
            <w:right w:w="108" w:type="dxa"/>
          </w:tblCellMar>
        </w:tblPrEx>
        <w:trPr>
          <w:trHeight w:val="2565"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68/20 feet and RMB 136/40 feet; export: RMB 34/20 feet and RMB 68/40 feet</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(Container) Container</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21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Containers and refrigerated containers (loaded containers) for  loading Grade I dangerous goods</w:t>
            </w: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2264"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1.2/ton; export: RMB 0.6/ton</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Weight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xml:space="preserve">Applicable to coal, ore, ore sand, ore powder, </w:t>
            </w:r>
            <w:r>
              <w:rPr>
                <w:rFonts w:hint="eastAsia" w:ascii="Times New Roman" w:hAnsi="Times New Roman" w:eastAsia="宋体" w:cs="Times New Roman"/>
                <w:color w:val="000000"/>
                <w:kern w:val="0"/>
                <w:sz w:val="20"/>
                <w:szCs w:val="28"/>
              </w:rPr>
              <w:t>phosphorite</w:t>
            </w:r>
            <w:r>
              <w:rPr>
                <w:rFonts w:ascii="Times New Roman" w:hAnsi="Times New Roman" w:eastAsia="宋体" w:cs="Times New Roman"/>
                <w:color w:val="000000"/>
                <w:kern w:val="0"/>
                <w:sz w:val="20"/>
                <w:szCs w:val="28"/>
              </w:rPr>
              <w:t>, cement, soda ash, grain, salt, sand, stone, brick, pig iron, steel (excluding scrap), steel pipe, steel billet, steel ingot, non-ferrous metal ingot, coke, semi-coke, lump coal, fertilizer, and light goods</w:t>
            </w: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1998"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0.7/ton; export: RMB 0.35/ton</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Measurement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210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2665"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5.6/ton; export: RMB 2.8/ton</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Weight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Applicable to Grade I dangerous goods, refrigerated goods, ancient paintings, antiques, gold ware, silver ware, jewelry, jade ware, jadeite, coral, agate, crystal, diamond, jade carving, wood carving, sculpture products, shell carving products, lacquered utensils, ancient porcelain, cloisonne, carpets, tapestries</w:t>
            </w:r>
            <w:r>
              <w:rPr>
                <w:rFonts w:hint="eastAsia" w:ascii="Times New Roman" w:hAnsi="Times New Roman" w:eastAsia="宋体" w:cs="Times New Roman"/>
                <w:color w:val="000000"/>
                <w:kern w:val="0"/>
                <w:sz w:val="20"/>
                <w:szCs w:val="28"/>
              </w:rPr>
              <w:t>,</w:t>
            </w:r>
            <w:r>
              <w:rPr>
                <w:rFonts w:ascii="Times New Roman" w:hAnsi="Times New Roman" w:eastAsia="宋体" w:cs="Times New Roman"/>
                <w:color w:val="000000"/>
                <w:kern w:val="0"/>
                <w:sz w:val="20"/>
                <w:szCs w:val="28"/>
              </w:rPr>
              <w:t xml:space="preserve"> and embroidery</w:t>
            </w: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2130"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3.7/ton; export: RMB 1.85/ton</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Measurement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210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1470"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2.8/ton; export: RMB 1.4/ton</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Weight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Applicable to other goods</w:t>
            </w: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1470" w:hRule="atLeast"/>
          <w:jc w:val="right"/>
        </w:trPr>
        <w:tc>
          <w:tcPr>
            <w:tcW w:w="87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3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 RMB 1.8/ton; export: RMB 0.9/ton</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(Goods) Measurement ton</w:t>
            </w:r>
          </w:p>
        </w:tc>
        <w:tc>
          <w:tcPr>
            <w:tcW w:w="35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210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000000"/>
                <w:kern w:val="0"/>
                <w:sz w:val="20"/>
                <w:szCs w:val="28"/>
              </w:rPr>
            </w:pPr>
          </w:p>
        </w:tc>
      </w:tr>
      <w:tr>
        <w:tblPrEx>
          <w:tblCellMar>
            <w:top w:w="0" w:type="dxa"/>
            <w:left w:w="108" w:type="dxa"/>
            <w:bottom w:w="0" w:type="dxa"/>
            <w:right w:w="108" w:type="dxa"/>
          </w:tblCellMar>
        </w:tblPrEx>
        <w:trPr>
          <w:trHeight w:val="2604" w:hRule="atLeast"/>
          <w:jc w:val="right"/>
        </w:trPr>
        <w:tc>
          <w:tcPr>
            <w:tcW w:w="87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4</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Berthage</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Port operators</w:t>
            </w:r>
          </w:p>
        </w:tc>
        <w:tc>
          <w:tcPr>
            <w:tcW w:w="26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charges shall be collected to the extent of the charging standards stipulated in the Measures for Charging and Billing at Ports</w:t>
            </w: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xml:space="preserve">Port operators providing berthing services shall collect berthage from the owners of ships or </w:t>
            </w:r>
            <w:r>
              <w:rPr>
                <w:rFonts w:hint="eastAsia" w:ascii="Times New Roman" w:hAnsi="Times New Roman" w:eastAsia="宋体" w:cs="Times New Roman"/>
                <w:color w:val="000000"/>
                <w:kern w:val="0"/>
                <w:sz w:val="20"/>
                <w:szCs w:val="28"/>
              </w:rPr>
              <w:t xml:space="preserve">their </w:t>
            </w:r>
            <w:r>
              <w:rPr>
                <w:rFonts w:ascii="Times New Roman" w:hAnsi="Times New Roman" w:eastAsia="宋体" w:cs="Times New Roman"/>
                <w:color w:val="000000"/>
                <w:kern w:val="0"/>
                <w:sz w:val="20"/>
                <w:szCs w:val="28"/>
              </w:rPr>
              <w:t xml:space="preserve">agents berthed at </w:t>
            </w:r>
            <w:r>
              <w:rPr>
                <w:rFonts w:hint="eastAsia" w:ascii="Times New Roman" w:hAnsi="Times New Roman" w:eastAsia="宋体" w:cs="Times New Roman"/>
                <w:color w:val="000000"/>
                <w:kern w:val="0"/>
                <w:sz w:val="20"/>
                <w:szCs w:val="28"/>
              </w:rPr>
              <w:t xml:space="preserve">a </w:t>
            </w:r>
            <w:r>
              <w:rPr>
                <w:rFonts w:ascii="Times New Roman" w:hAnsi="Times New Roman" w:eastAsia="宋体" w:cs="Times New Roman"/>
                <w:color w:val="000000"/>
                <w:kern w:val="0"/>
                <w:sz w:val="20"/>
                <w:szCs w:val="28"/>
              </w:rPr>
              <w:t>port terminal.</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B</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payers are owners of ships or their agents</w:t>
            </w:r>
          </w:p>
        </w:tc>
      </w:tr>
      <w:tr>
        <w:tblPrEx>
          <w:tblCellMar>
            <w:top w:w="0" w:type="dxa"/>
            <w:left w:w="108" w:type="dxa"/>
            <w:bottom w:w="0" w:type="dxa"/>
            <w:right w:w="108" w:type="dxa"/>
          </w:tblCellMar>
        </w:tblPrEx>
        <w:trPr>
          <w:trHeight w:val="2565" w:hRule="atLeast"/>
          <w:jc w:val="righ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Towage</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Tugboat service providers</w:t>
            </w:r>
          </w:p>
        </w:tc>
        <w:tc>
          <w:tcPr>
            <w:tcW w:w="26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charges shall be collected to the extent of the charging standards stipulated in the Measures for Charging and Billing at Ports</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hint="eastAsia" w:ascii="Times New Roman" w:hAnsi="Times New Roman" w:eastAsia="宋体" w:cs="Times New Roman"/>
                <w:color w:val="000000"/>
                <w:kern w:val="0"/>
                <w:sz w:val="20"/>
                <w:szCs w:val="28"/>
              </w:rPr>
              <w:t xml:space="preserve">For ships using tugboat services for berthing, </w:t>
            </w:r>
            <w:r>
              <w:rPr>
                <w:rFonts w:ascii="Times New Roman" w:hAnsi="Times New Roman" w:eastAsia="宋体" w:cs="Times New Roman"/>
                <w:color w:val="000000"/>
                <w:kern w:val="0"/>
                <w:sz w:val="20"/>
                <w:szCs w:val="28"/>
              </w:rPr>
              <w:t>unberthing, pilotage or shifting</w:t>
            </w:r>
            <w:r>
              <w:rPr>
                <w:rFonts w:hint="eastAsia" w:ascii="Times New Roman" w:hAnsi="Times New Roman" w:eastAsia="宋体" w:cs="Times New Roman"/>
                <w:color w:val="000000"/>
                <w:kern w:val="0"/>
                <w:sz w:val="20"/>
                <w:szCs w:val="28"/>
              </w:rPr>
              <w:t>, t</w:t>
            </w:r>
            <w:r>
              <w:rPr>
                <w:rFonts w:ascii="Times New Roman" w:hAnsi="Times New Roman" w:eastAsia="宋体" w:cs="Times New Roman"/>
                <w:color w:val="000000"/>
                <w:kern w:val="0"/>
                <w:sz w:val="20"/>
                <w:szCs w:val="28"/>
              </w:rPr>
              <w:t xml:space="preserve">ugboat service providers </w:t>
            </w:r>
            <w:r>
              <w:rPr>
                <w:rFonts w:hint="eastAsia" w:ascii="Times New Roman" w:hAnsi="Times New Roman" w:eastAsia="宋体" w:cs="Times New Roman"/>
                <w:color w:val="000000"/>
                <w:kern w:val="0"/>
                <w:sz w:val="20"/>
                <w:szCs w:val="28"/>
              </w:rPr>
              <w:t xml:space="preserve">shall </w:t>
            </w:r>
            <w:r>
              <w:rPr>
                <w:rFonts w:ascii="Times New Roman" w:hAnsi="Times New Roman" w:eastAsia="宋体" w:cs="Times New Roman"/>
                <w:color w:val="000000"/>
                <w:kern w:val="0"/>
                <w:sz w:val="20"/>
                <w:szCs w:val="28"/>
              </w:rPr>
              <w:t>collect towage from the owners of ships or their agents.</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B Document D</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payers are owners of ships or their agents</w:t>
            </w:r>
          </w:p>
        </w:tc>
      </w:tr>
      <w:tr>
        <w:tblPrEx>
          <w:tblCellMar>
            <w:top w:w="0" w:type="dxa"/>
            <w:left w:w="108" w:type="dxa"/>
            <w:bottom w:w="0" w:type="dxa"/>
            <w:right w:w="108" w:type="dxa"/>
          </w:tblCellMar>
        </w:tblPrEx>
        <w:trPr>
          <w:trHeight w:val="5988" w:hRule="atLeast"/>
          <w:jc w:val="righ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6</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Pilotage (shifting) charges</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Guangzhou Pilot Station</w:t>
            </w:r>
          </w:p>
        </w:tc>
        <w:tc>
          <w:tcPr>
            <w:tcW w:w="26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charges shall be collected to the extent of the charging standards stipulated in the Measures for Charging and Billing at Ports</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hint="eastAsia" w:ascii="Times New Roman" w:hAnsi="Times New Roman" w:eastAsia="宋体" w:cs="Times New Roman"/>
                <w:color w:val="000000"/>
                <w:kern w:val="0"/>
                <w:sz w:val="20"/>
                <w:szCs w:val="28"/>
              </w:rPr>
              <w:t>Piloting</w:t>
            </w:r>
            <w:r>
              <w:rPr>
                <w:rFonts w:ascii="Times New Roman" w:hAnsi="Times New Roman" w:eastAsia="宋体" w:cs="Times New Roman"/>
                <w:color w:val="000000"/>
                <w:kern w:val="0"/>
                <w:sz w:val="20"/>
                <w:szCs w:val="28"/>
              </w:rPr>
              <w:t xml:space="preserve"> the entry and exit of ships on international and domestic routes and </w:t>
            </w:r>
            <w:r>
              <w:rPr>
                <w:rFonts w:hint="eastAsia" w:ascii="Times New Roman" w:hAnsi="Times New Roman" w:eastAsia="宋体" w:cs="Times New Roman"/>
                <w:color w:val="000000"/>
                <w:kern w:val="0"/>
                <w:sz w:val="20"/>
                <w:szCs w:val="28"/>
              </w:rPr>
              <w:t>their shifting</w:t>
            </w:r>
            <w:r>
              <w:rPr>
                <w:rFonts w:ascii="Times New Roman" w:hAnsi="Times New Roman" w:eastAsia="宋体" w:cs="Times New Roman"/>
                <w:color w:val="000000"/>
                <w:kern w:val="0"/>
                <w:sz w:val="20"/>
                <w:szCs w:val="28"/>
              </w:rPr>
              <w:t xml:space="preserve"> </w:t>
            </w:r>
            <w:r>
              <w:rPr>
                <w:rFonts w:hint="eastAsia" w:ascii="Times New Roman" w:hAnsi="Times New Roman" w:eastAsia="宋体" w:cs="Times New Roman"/>
                <w:color w:val="000000"/>
                <w:kern w:val="0"/>
                <w:sz w:val="20"/>
                <w:szCs w:val="28"/>
              </w:rPr>
              <w:t>with</w:t>
            </w:r>
            <w:r>
              <w:rPr>
                <w:rFonts w:ascii="Times New Roman" w:hAnsi="Times New Roman" w:eastAsia="宋体" w:cs="Times New Roman"/>
                <w:color w:val="000000"/>
                <w:kern w:val="0"/>
                <w:sz w:val="20"/>
                <w:szCs w:val="28"/>
              </w:rPr>
              <w:t xml:space="preserve">in </w:t>
            </w:r>
            <w:r>
              <w:rPr>
                <w:rFonts w:hint="eastAsia" w:ascii="Times New Roman" w:hAnsi="Times New Roman" w:eastAsia="宋体" w:cs="Times New Roman"/>
                <w:color w:val="000000"/>
                <w:kern w:val="0"/>
                <w:sz w:val="20"/>
                <w:szCs w:val="28"/>
              </w:rPr>
              <w:t xml:space="preserve">the </w:t>
            </w:r>
            <w:r>
              <w:rPr>
                <w:rFonts w:ascii="Times New Roman" w:hAnsi="Times New Roman" w:eastAsia="宋体" w:cs="Times New Roman"/>
                <w:color w:val="000000"/>
                <w:kern w:val="0"/>
                <w:sz w:val="20"/>
                <w:szCs w:val="28"/>
              </w:rPr>
              <w:t>port.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B</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specific charging standards for pilotage  (shifting) charges shall be reported to the provincial transportation and price authorities by the port administrative department where the port is located, and made public by pilotage authorities; the payers are owners of ships or their agents</w:t>
            </w:r>
          </w:p>
        </w:tc>
      </w:tr>
      <w:tr>
        <w:tblPrEx>
          <w:tblCellMar>
            <w:top w:w="0" w:type="dxa"/>
            <w:left w:w="108" w:type="dxa"/>
            <w:bottom w:w="0" w:type="dxa"/>
            <w:right w:w="108" w:type="dxa"/>
          </w:tblCellMar>
        </w:tblPrEx>
        <w:trPr>
          <w:trHeight w:val="2848" w:hRule="atLeast"/>
          <w:jc w:val="right"/>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7</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Oil boom service fees</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Oil boom service providers</w:t>
            </w:r>
          </w:p>
        </w:tc>
        <w:tc>
          <w:tcPr>
            <w:tcW w:w="267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charges shall be collected to the extent of the charging standards stipulated in the Measures for Charging and Billing at Ports</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If a ship uses oil booms in accordance with the provisions, oil boom service providers shall collect oil boom service fees from the obligors for the installation of the booms as specified in the relevant provisions.</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Document B</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Import/export</w:t>
            </w:r>
          </w:p>
        </w:tc>
        <w:tc>
          <w:tcPr>
            <w:tcW w:w="21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　</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0"/>
                <w:szCs w:val="28"/>
              </w:rPr>
            </w:pPr>
            <w:r>
              <w:rPr>
                <w:rFonts w:ascii="Times New Roman" w:hAnsi="Times New Roman" w:eastAsia="宋体" w:cs="Times New Roman"/>
                <w:color w:val="000000"/>
                <w:kern w:val="0"/>
                <w:sz w:val="20"/>
                <w:szCs w:val="28"/>
              </w:rPr>
              <w:t>The payers are obligors for the installation of the booms</w:t>
            </w:r>
          </w:p>
        </w:tc>
      </w:tr>
    </w:tbl>
    <w:p>
      <w:pPr>
        <w:jc w:val="center"/>
        <w:rPr>
          <w:rFonts w:ascii="Times New Roman" w:hAnsi="Times New Roman" w:eastAsia="宋体" w:cs="Times New Roman"/>
          <w:color w:val="000000"/>
          <w:kern w:val="0"/>
          <w:sz w:val="20"/>
          <w:szCs w:val="28"/>
        </w:rPr>
      </w:pPr>
    </w:p>
    <w:p>
      <w:pPr>
        <w:jc w:val="center"/>
        <w:rPr>
          <w:rFonts w:ascii="Times New Roman" w:hAnsi="Times New Roman" w:eastAsia="宋体" w:cs="Times New Roman"/>
          <w:color w:val="000000"/>
          <w:kern w:val="0"/>
          <w:sz w:val="20"/>
          <w:szCs w:val="28"/>
        </w:rPr>
      </w:pPr>
    </w:p>
    <w:sectPr>
      <w:pgSz w:w="16838" w:h="11906" w:orient="landscape"/>
      <w:pgMar w:top="232" w:right="232" w:bottom="232" w:left="2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F6"/>
    <w:rsid w:val="00136456"/>
    <w:rsid w:val="002107D9"/>
    <w:rsid w:val="005C4B04"/>
    <w:rsid w:val="007043F6"/>
    <w:rsid w:val="00705084"/>
    <w:rsid w:val="00823482"/>
    <w:rsid w:val="0098258C"/>
    <w:rsid w:val="00B30B96"/>
    <w:rsid w:val="00FA4F4B"/>
    <w:rsid w:val="03022CAE"/>
    <w:rsid w:val="03071CE9"/>
    <w:rsid w:val="062B20B5"/>
    <w:rsid w:val="06751A66"/>
    <w:rsid w:val="0B142D44"/>
    <w:rsid w:val="0BA918C5"/>
    <w:rsid w:val="0F5657CB"/>
    <w:rsid w:val="12681155"/>
    <w:rsid w:val="178719E2"/>
    <w:rsid w:val="18A330F1"/>
    <w:rsid w:val="1AD0568D"/>
    <w:rsid w:val="1FF96085"/>
    <w:rsid w:val="27AF2E0F"/>
    <w:rsid w:val="28C0214A"/>
    <w:rsid w:val="2CC71249"/>
    <w:rsid w:val="2D11010E"/>
    <w:rsid w:val="2D453F89"/>
    <w:rsid w:val="32922CC8"/>
    <w:rsid w:val="348E54BF"/>
    <w:rsid w:val="36255616"/>
    <w:rsid w:val="37587B23"/>
    <w:rsid w:val="3A5A6597"/>
    <w:rsid w:val="3EE1044A"/>
    <w:rsid w:val="40824F9E"/>
    <w:rsid w:val="4C20448D"/>
    <w:rsid w:val="4D7A50E1"/>
    <w:rsid w:val="56AB566B"/>
    <w:rsid w:val="5EDD721D"/>
    <w:rsid w:val="602B3D11"/>
    <w:rsid w:val="680A1D35"/>
    <w:rsid w:val="6F930596"/>
    <w:rsid w:val="709031E7"/>
    <w:rsid w:val="74EE2B93"/>
    <w:rsid w:val="783336C0"/>
    <w:rsid w:val="7C503CA1"/>
    <w:rsid w:val="7DB429B9"/>
    <w:rsid w:val="7FD43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2234</Words>
  <Characters>6294</Characters>
  <Lines>52</Lines>
  <Paragraphs>14</Paragraphs>
  <TotalTime>5</TotalTime>
  <ScaleCrop>false</ScaleCrop>
  <LinksUpToDate>false</LinksUpToDate>
  <CharactersWithSpaces>7068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2021-11-02T01:57:00Z</dcterms:created>
  <dc:creator>未定义</dc:creator>
  <cp:lastModifiedBy>喻斌</cp:lastModifiedBy>
  <dcterms:modified xsi:type="dcterms:W3CDTF">2022-04-15T07:32:29Z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A23F0599DD724AAC8AD59B0C95646F11</vt:lpwstr>
  </property>
</Properties>
</file>