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黑体" w:cs="Times New Roman"/>
          <w:sz w:val="22"/>
        </w:rPr>
      </w:pPr>
      <w:bookmarkStart w:id="0" w:name="_GoBack"/>
      <w:bookmarkEnd w:id="0"/>
      <w:r>
        <w:rPr>
          <w:rFonts w:ascii="Times New Roman" w:hAnsi="Times New Roman" w:eastAsia="黑体" w:cs="Times New Roman"/>
          <w:sz w:val="22"/>
        </w:rPr>
        <w:t>Attachment 2</w:t>
      </w:r>
    </w:p>
    <w:p>
      <w:pPr>
        <w:jc w:val="center"/>
        <w:rPr>
          <w:rFonts w:ascii="Times New Roman" w:hAnsi="Times New Roman" w:eastAsia="Arial Unicode MS" w:cs="Times New Roman"/>
          <w:sz w:val="32"/>
          <w:szCs w:val="32"/>
        </w:rPr>
      </w:pPr>
      <w:r>
        <w:rPr>
          <w:rFonts w:ascii="Times New Roman" w:hAnsi="Times New Roman" w:eastAsia="Arial Unicode MS" w:cs="Times New Roman"/>
          <w:sz w:val="32"/>
          <w:szCs w:val="32"/>
        </w:rPr>
        <w:t>Disclosure Format of the List of Charges for Imports and Exports at Guangzhou Ports</w:t>
      </w:r>
    </w:p>
    <w:tbl>
      <w:tblPr>
        <w:tblStyle w:val="3"/>
        <w:tblW w:w="16683" w:type="dxa"/>
        <w:jc w:val="right"/>
        <w:tblLayout w:type="fixed"/>
        <w:tblCellMar>
          <w:top w:w="0" w:type="dxa"/>
          <w:left w:w="108" w:type="dxa"/>
          <w:bottom w:w="0" w:type="dxa"/>
          <w:right w:w="108" w:type="dxa"/>
        </w:tblCellMar>
      </w:tblPr>
      <w:tblGrid>
        <w:gridCol w:w="1052"/>
        <w:gridCol w:w="1134"/>
        <w:gridCol w:w="1134"/>
        <w:gridCol w:w="1134"/>
        <w:gridCol w:w="1134"/>
        <w:gridCol w:w="1183"/>
        <w:gridCol w:w="1275"/>
        <w:gridCol w:w="1134"/>
        <w:gridCol w:w="1560"/>
        <w:gridCol w:w="1626"/>
        <w:gridCol w:w="2152"/>
        <w:gridCol w:w="1134"/>
        <w:gridCol w:w="1031"/>
      </w:tblGrid>
      <w:tr>
        <w:tblPrEx>
          <w:tblCellMar>
            <w:top w:w="0" w:type="dxa"/>
            <w:left w:w="108" w:type="dxa"/>
            <w:bottom w:w="0" w:type="dxa"/>
            <w:right w:w="108" w:type="dxa"/>
          </w:tblCellMar>
        </w:tblPrEx>
        <w:trPr>
          <w:trHeight w:val="1260" w:hRule="atLeast"/>
          <w:jc w:val="right"/>
        </w:trPr>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br w:type="textWrapping"/>
            </w:r>
            <w:r>
              <w:rPr>
                <w:rFonts w:ascii="Times New Roman" w:hAnsi="Times New Roman" w:eastAsia="宋体" w:cs="Times New Roman"/>
                <w:b/>
                <w:bCs/>
                <w:kern w:val="0"/>
                <w:sz w:val="20"/>
                <w:szCs w:val="24"/>
              </w:rPr>
              <w:t>Serial No.</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*Port name*</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Port type*</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Nature of charges*</w:t>
            </w:r>
          </w:p>
        </w:tc>
        <w:tc>
          <w:tcPr>
            <w:tcW w:w="1134"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Charging entity*</w:t>
            </w:r>
          </w:p>
        </w:tc>
        <w:tc>
          <w:tcPr>
            <w:tcW w:w="1183"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Charging items*</w:t>
            </w:r>
          </w:p>
        </w:tc>
        <w:tc>
          <w:tcPr>
            <w:tcW w:w="1275"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Charging standards*</w:t>
            </w:r>
          </w:p>
        </w:tc>
        <w:tc>
          <w:tcPr>
            <w:tcW w:w="1134"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Charging unit*</w:t>
            </w:r>
          </w:p>
        </w:tc>
        <w:tc>
          <w:tcPr>
            <w:tcW w:w="1560"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Description of charging standards</w:t>
            </w:r>
          </w:p>
        </w:tc>
        <w:tc>
          <w:tcPr>
            <w:tcW w:w="1626"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Type of import/export*</w:t>
            </w:r>
          </w:p>
        </w:tc>
        <w:tc>
          <w:tcPr>
            <w:tcW w:w="2152"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Service content*</w:t>
            </w:r>
          </w:p>
        </w:tc>
        <w:tc>
          <w:tcPr>
            <w:tcW w:w="1134"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Charging basis</w:t>
            </w:r>
          </w:p>
        </w:tc>
        <w:tc>
          <w:tcPr>
            <w:tcW w:w="1031" w:type="dxa"/>
            <w:tcBorders>
              <w:top w:val="single" w:color="auto" w:sz="4" w:space="0"/>
              <w:left w:val="nil"/>
              <w:bottom w:val="single" w:color="auto" w:sz="4" w:space="0"/>
              <w:right w:val="single" w:color="auto" w:sz="4" w:space="0"/>
            </w:tcBorders>
            <w:shd w:val="clear" w:color="000000" w:fill="CCE8CF"/>
            <w:vAlign w:val="center"/>
          </w:tcPr>
          <w:p>
            <w:pPr>
              <w:widowControl/>
              <w:jc w:val="center"/>
              <w:rPr>
                <w:rFonts w:ascii="Times New Roman" w:hAnsi="Times New Roman" w:eastAsia="宋体" w:cs="Times New Roman"/>
                <w:b/>
                <w:bCs/>
                <w:kern w:val="0"/>
                <w:sz w:val="20"/>
                <w:szCs w:val="24"/>
              </w:rPr>
            </w:pPr>
            <w:r>
              <w:rPr>
                <w:rFonts w:ascii="Times New Roman" w:hAnsi="Times New Roman" w:eastAsia="宋体" w:cs="Times New Roman"/>
                <w:b/>
                <w:bCs/>
                <w:kern w:val="0"/>
                <w:sz w:val="20"/>
                <w:szCs w:val="24"/>
              </w:rPr>
              <w:t>Remark</w:t>
            </w:r>
          </w:p>
        </w:tc>
      </w:tr>
      <w:tr>
        <w:tblPrEx>
          <w:tblCellMar>
            <w:top w:w="0" w:type="dxa"/>
            <w:left w:w="108" w:type="dxa"/>
            <w:bottom w:w="0" w:type="dxa"/>
            <w:right w:w="108" w:type="dxa"/>
          </w:tblCellMar>
        </w:tblPrEx>
        <w:trPr>
          <w:trHeight w:val="2505" w:hRule="atLeast"/>
          <w:jc w:val="right"/>
        </w:trPr>
        <w:tc>
          <w:tcPr>
            <w:tcW w:w="10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Example</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Guangzhou Port Nansha Port Area</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W</w:t>
            </w:r>
            <w:r>
              <w:rPr>
                <w:rFonts w:ascii="Times New Roman" w:hAnsi="Times New Roman" w:eastAsia="宋体" w:cs="Times New Roman"/>
                <w:kern w:val="0"/>
                <w:sz w:val="20"/>
                <w:szCs w:val="20"/>
              </w:rPr>
              <w:t>ater transport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Business fees and charges (regulated by the market)</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XX Agency</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Customs clearance fees</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RMB XX</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Document</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Collected by documents</w:t>
            </w:r>
          </w:p>
        </w:tc>
        <w:tc>
          <w:tcPr>
            <w:tcW w:w="16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Import/export</w:t>
            </w:r>
          </w:p>
        </w:tc>
        <w:tc>
          <w:tcPr>
            <w:tcW w:w="21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Responsible for reviewing the customs declaration documents provided by customers, entering the information in the system, declaration, and following up the tax payment, inspection and release after the declaration, and assisting customers in dealing with various problems</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Market regulation</w:t>
            </w:r>
          </w:p>
        </w:tc>
        <w:tc>
          <w:tcPr>
            <w:tcW w:w="10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70" w:hRule="atLeast"/>
          <w:jc w:val="right"/>
        </w:trPr>
        <w:tc>
          <w:tcPr>
            <w:tcW w:w="10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1</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6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1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70" w:hRule="atLeast"/>
          <w:jc w:val="right"/>
        </w:trPr>
        <w:tc>
          <w:tcPr>
            <w:tcW w:w="10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2</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6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1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70" w:hRule="atLeast"/>
          <w:jc w:val="right"/>
        </w:trPr>
        <w:tc>
          <w:tcPr>
            <w:tcW w:w="10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3</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6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1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r>
      <w:tr>
        <w:tblPrEx>
          <w:tblCellMar>
            <w:top w:w="0" w:type="dxa"/>
            <w:left w:w="108" w:type="dxa"/>
            <w:bottom w:w="0" w:type="dxa"/>
            <w:right w:w="108" w:type="dxa"/>
          </w:tblCellMar>
        </w:tblPrEx>
        <w:trPr>
          <w:trHeight w:val="270" w:hRule="atLeast"/>
          <w:jc w:val="right"/>
        </w:trPr>
        <w:tc>
          <w:tcPr>
            <w:tcW w:w="1052"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ascii="Times New Roman" w:hAnsi="Times New Roman" w:eastAsia="宋体" w:cs="Times New Roman"/>
                <w:kern w:val="0"/>
                <w:sz w:val="20"/>
                <w:szCs w:val="20"/>
              </w:rPr>
              <w:t>4</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83"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275"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56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626"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215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c>
          <w:tcPr>
            <w:tcW w:w="1031"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宋体" w:cs="Times New Roman"/>
                <w:kern w:val="0"/>
                <w:sz w:val="20"/>
                <w:szCs w:val="20"/>
              </w:rPr>
            </w:pPr>
            <w:r>
              <w:rPr>
                <w:rFonts w:hint="eastAsia" w:ascii="Times New Roman" w:hAnsi="Times New Roman" w:eastAsia="宋体" w:cs="Times New Roman"/>
                <w:kern w:val="0"/>
                <w:sz w:val="20"/>
                <w:szCs w:val="20"/>
              </w:rPr>
              <w:t>　</w:t>
            </w:r>
          </w:p>
        </w:tc>
      </w:tr>
    </w:tbl>
    <w:p>
      <w:pPr>
        <w:widowControl/>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1. Port type: refers to water transport, air transport, railway, and highway.</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2. Nature of charges: the charges mainly include administrative charges (set by the government), administrative charges (set under the guidance of the government), business fees and charges (set by the government), business fees and charges (set under the guidance of the government), business fees and charges (regulated by the market) and government-managed funds.</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3. Items marked with * are required.</w:t>
      </w:r>
      <w:r>
        <w:rPr>
          <w:rFonts w:ascii="Times New Roman" w:hAnsi="Times New Roman" w:eastAsia="宋体" w:cs="Times New Roman"/>
          <w:color w:val="000000"/>
          <w:kern w:val="0"/>
          <w:sz w:val="24"/>
        </w:rPr>
        <w:br w:type="textWrapping"/>
      </w:r>
      <w:r>
        <w:rPr>
          <w:rFonts w:ascii="Times New Roman" w:hAnsi="Times New Roman" w:eastAsia="宋体" w:cs="Times New Roman"/>
          <w:color w:val="000000"/>
          <w:kern w:val="0"/>
          <w:sz w:val="24"/>
        </w:rPr>
        <w:t xml:space="preserve">4. All relevant entities shall disclose their lists, complaint and report hotlines and other information in prominent places of their business premises and portal websites (or WeChat </w:t>
      </w:r>
      <w:r>
        <w:rPr>
          <w:rFonts w:hint="eastAsia" w:ascii="Times New Roman" w:hAnsi="Times New Roman" w:eastAsia="宋体" w:cs="Times New Roman"/>
          <w:color w:val="000000"/>
          <w:kern w:val="0"/>
          <w:sz w:val="24"/>
        </w:rPr>
        <w:t xml:space="preserve">official </w:t>
      </w:r>
      <w:r>
        <w:rPr>
          <w:rFonts w:ascii="Times New Roman" w:hAnsi="Times New Roman" w:eastAsia="宋体" w:cs="Times New Roman"/>
          <w:color w:val="000000"/>
          <w:kern w:val="0"/>
          <w:sz w:val="24"/>
        </w:rPr>
        <w:t xml:space="preserve">accounts and other new network media) in the standardized format, and upload the same to the </w:t>
      </w:r>
      <w:r>
        <w:rPr>
          <w:rFonts w:hint="eastAsia" w:ascii="Times New Roman" w:hAnsi="Times New Roman" w:eastAsia="宋体" w:cs="Times New Roman"/>
          <w:color w:val="000000"/>
          <w:kern w:val="0"/>
          <w:sz w:val="24"/>
        </w:rPr>
        <w:t>China (</w:t>
      </w:r>
      <w:r>
        <w:rPr>
          <w:rFonts w:ascii="Times New Roman" w:hAnsi="Times New Roman" w:eastAsia="宋体" w:cs="Times New Roman"/>
          <w:color w:val="000000"/>
          <w:kern w:val="0"/>
          <w:sz w:val="24"/>
        </w:rPr>
        <w:t>Guangzhou</w:t>
      </w:r>
      <w:r>
        <w:rPr>
          <w:rFonts w:hint="eastAsia" w:ascii="Times New Roman" w:hAnsi="Times New Roman" w:eastAsia="宋体" w:cs="Times New Roman"/>
          <w:color w:val="000000"/>
          <w:kern w:val="0"/>
          <w:sz w:val="24"/>
        </w:rPr>
        <w:t>)</w:t>
      </w:r>
      <w:r>
        <w:rPr>
          <w:rFonts w:ascii="Times New Roman" w:hAnsi="Times New Roman" w:eastAsia="宋体" w:cs="Times New Roman"/>
          <w:color w:val="000000"/>
          <w:kern w:val="0"/>
          <w:sz w:val="24"/>
        </w:rPr>
        <w:t xml:space="preserve"> </w:t>
      </w:r>
      <w:r>
        <w:rPr>
          <w:rFonts w:hint="eastAsia" w:ascii="Times New Roman" w:hAnsi="Times New Roman" w:eastAsia="宋体" w:cs="Times New Roman"/>
          <w:color w:val="000000"/>
          <w:kern w:val="0"/>
          <w:sz w:val="24"/>
        </w:rPr>
        <w:t>I</w:t>
      </w:r>
      <w:r>
        <w:rPr>
          <w:rFonts w:ascii="Times New Roman" w:hAnsi="Times New Roman" w:eastAsia="宋体" w:cs="Times New Roman"/>
          <w:color w:val="000000"/>
          <w:kern w:val="0"/>
          <w:sz w:val="24"/>
        </w:rPr>
        <w:t xml:space="preserve">nternational </w:t>
      </w:r>
      <w:r>
        <w:rPr>
          <w:rFonts w:hint="eastAsia" w:ascii="Times New Roman" w:hAnsi="Times New Roman" w:eastAsia="宋体" w:cs="Times New Roman"/>
          <w:color w:val="000000"/>
          <w:kern w:val="0"/>
          <w:sz w:val="24"/>
        </w:rPr>
        <w:t>T</w:t>
      </w:r>
      <w:r>
        <w:rPr>
          <w:rFonts w:ascii="Times New Roman" w:hAnsi="Times New Roman" w:eastAsia="宋体" w:cs="Times New Roman"/>
          <w:color w:val="000000"/>
          <w:kern w:val="0"/>
          <w:sz w:val="24"/>
        </w:rPr>
        <w:t>rade</w:t>
      </w:r>
      <w:r>
        <w:rPr>
          <w:rFonts w:hint="eastAsia" w:ascii="Times New Roman" w:hAnsi="Times New Roman" w:eastAsia="宋体" w:cs="Times New Roman"/>
          <w:color w:val="000000"/>
          <w:kern w:val="0"/>
          <w:sz w:val="24"/>
        </w:rPr>
        <w:t xml:space="preserve"> Single Window</w:t>
      </w:r>
      <w:r>
        <w:rPr>
          <w:rFonts w:ascii="Times New Roman" w:hAnsi="Times New Roman" w:eastAsia="宋体" w:cs="Times New Roman"/>
          <w:color w:val="000000"/>
          <w:kern w:val="0"/>
          <w:sz w:val="24"/>
        </w:rPr>
        <w:t>, which shall summarize and release such information to facilitate inquiries from all walks of life and accept social supervision.</w:t>
      </w:r>
    </w:p>
    <w:p>
      <w:pPr>
        <w:rPr>
          <w:rFonts w:ascii="Times New Roman" w:hAnsi="Times New Roman" w:eastAsia="Arial Unicode MS" w:cs="Times New Roman"/>
          <w:sz w:val="32"/>
          <w:szCs w:val="32"/>
        </w:rPr>
      </w:pPr>
    </w:p>
    <w:sectPr>
      <w:pgSz w:w="16838" w:h="11906" w:orient="landscape"/>
      <w:pgMar w:top="232" w:right="232" w:bottom="232" w:left="232"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5E4"/>
    <w:rsid w:val="00807653"/>
    <w:rsid w:val="00870E94"/>
    <w:rsid w:val="008A3AD3"/>
    <w:rsid w:val="00B30B96"/>
    <w:rsid w:val="00D57CB3"/>
    <w:rsid w:val="00D775E4"/>
    <w:rsid w:val="0C787A32"/>
    <w:rsid w:val="264027B3"/>
    <w:rsid w:val="471F557D"/>
    <w:rsid w:val="51167858"/>
    <w:rsid w:val="5C476E68"/>
    <w:rsid w:val="62267A40"/>
    <w:rsid w:val="7A306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Balloon Text"/>
    <w:basedOn w:val="1"/>
    <w:link w:val="5"/>
    <w:semiHidden/>
    <w:unhideWhenUsed/>
    <w:uiPriority w:val="99"/>
    <w:rPr>
      <w:sz w:val="18"/>
      <w:szCs w:val="18"/>
    </w:rPr>
  </w:style>
  <w:style w:type="character" w:customStyle="1" w:styleId="5">
    <w:name w:val="批注框文本 Char"/>
    <w:basedOn w:val="4"/>
    <w:link w:val="2"/>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657</Words>
  <Characters>1905</Characters>
  <Lines>16</Lines>
  <Paragraphs>4</Paragraphs>
  <TotalTime>1</TotalTime>
  <ScaleCrop>false</ScaleCrop>
  <LinksUpToDate>false</LinksUpToDate>
  <CharactersWithSpaces>2176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2021-11-02T01:58:00Z</dcterms:created>
  <dc:creator>未定义</dc:creator>
  <cp:lastModifiedBy>喻斌</cp:lastModifiedBy>
  <dcterms:modified xsi:type="dcterms:W3CDTF">2022-04-15T07:32:50Z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2CF1699C964B43CB95122983FA8C3FFD</vt:lpwstr>
  </property>
</Properties>
</file>