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default" w:ascii="Times New Roman" w:hAnsi="Times New Roman" w:eastAsia="黑体" w:cs="Times New Roman"/>
          <w:bCs/>
          <w:color w:val="auto"/>
          <w:kern w:val="0"/>
          <w:szCs w:val="32"/>
          <w:highlight w:val="none"/>
          <w:lang w:bidi="ar"/>
        </w:rPr>
      </w:pPr>
      <w:r>
        <w:rPr>
          <w:rFonts w:hint="default" w:ascii="Times New Roman" w:hAnsi="Times New Roman" w:eastAsia="黑体" w:cs="Times New Roman"/>
          <w:bCs/>
          <w:color w:val="auto"/>
          <w:kern w:val="0"/>
          <w:szCs w:val="32"/>
          <w:highlight w:val="none"/>
          <w:lang w:bidi="ar"/>
        </w:rPr>
        <w:t>附件1</w:t>
      </w:r>
    </w:p>
    <w:p>
      <w:pPr>
        <w:jc w:val="center"/>
        <w:rPr>
          <w:rFonts w:hint="default" w:ascii="方正小标宋简体" w:hAnsi="方正小标宋简体" w:eastAsia="方正小标宋简体" w:cs="方正小标宋简体"/>
          <w:bCs/>
          <w:color w:val="auto"/>
          <w:kern w:val="0"/>
          <w:sz w:val="36"/>
          <w:szCs w:val="36"/>
          <w:highlight w:val="none"/>
          <w:lang w:bidi="ar"/>
        </w:rPr>
      </w:pPr>
      <w:r>
        <w:rPr>
          <w:rFonts w:hint="eastAsia" w:ascii="方正小标宋简体" w:hAnsi="方正小标宋简体" w:eastAsia="方正小标宋简体" w:cs="方正小标宋简体"/>
          <w:bCs/>
          <w:color w:val="auto"/>
          <w:kern w:val="0"/>
          <w:sz w:val="36"/>
          <w:szCs w:val="36"/>
          <w:highlight w:val="none"/>
          <w:lang w:bidi="ar"/>
        </w:rPr>
        <w:t>广州市白云区</w:t>
      </w:r>
      <w:r>
        <w:rPr>
          <w:rFonts w:hint="eastAsia" w:ascii="方正小标宋简体" w:hAnsi="方正小标宋简体" w:eastAsia="方正小标宋简体" w:cs="方正小标宋简体"/>
          <w:bCs/>
          <w:color w:val="auto"/>
          <w:kern w:val="0"/>
          <w:sz w:val="36"/>
          <w:szCs w:val="36"/>
          <w:highlight w:val="none"/>
          <w:lang w:val="en-US" w:eastAsia="zh-CN" w:bidi="ar"/>
        </w:rPr>
        <w:t>2022年</w:t>
      </w:r>
      <w:r>
        <w:rPr>
          <w:rFonts w:hint="eastAsia" w:ascii="方正小标宋简体" w:hAnsi="方正小标宋简体" w:eastAsia="方正小标宋简体" w:cs="方正小标宋简体"/>
          <w:bCs/>
          <w:color w:val="auto"/>
          <w:kern w:val="0"/>
          <w:sz w:val="36"/>
          <w:szCs w:val="36"/>
          <w:highlight w:val="none"/>
          <w:lang w:bidi="ar"/>
        </w:rPr>
        <w:t>来穗人员随迁子女积分制入学指标及分值</w:t>
      </w:r>
      <w:r>
        <w:rPr>
          <w:rFonts w:hint="default" w:ascii="方正小标宋简体" w:hAnsi="方正小标宋简体" w:eastAsia="方正小标宋简体" w:cs="方正小标宋简体"/>
          <w:bCs/>
          <w:color w:val="auto"/>
          <w:kern w:val="0"/>
          <w:sz w:val="36"/>
          <w:szCs w:val="36"/>
          <w:highlight w:val="none"/>
          <w:lang w:bidi="ar"/>
        </w:rPr>
        <w:t>体系表</w:t>
      </w:r>
    </w:p>
    <w:tbl>
      <w:tblPr>
        <w:tblStyle w:val="5"/>
        <w:tblW w:w="95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8"/>
        <w:gridCol w:w="468"/>
        <w:gridCol w:w="1346"/>
        <w:gridCol w:w="4476"/>
        <w:gridCol w:w="26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blHeader/>
        </w:trPr>
        <w:tc>
          <w:tcPr>
            <w:tcW w:w="5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类别</w:t>
            </w:r>
          </w:p>
        </w:tc>
        <w:tc>
          <w:tcPr>
            <w:tcW w:w="468"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序号</w:t>
            </w:r>
          </w:p>
        </w:tc>
        <w:tc>
          <w:tcPr>
            <w:tcW w:w="1346"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指标</w:t>
            </w:r>
          </w:p>
        </w:tc>
        <w:tc>
          <w:tcPr>
            <w:tcW w:w="4476"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指标内容及分值</w:t>
            </w:r>
          </w:p>
        </w:tc>
        <w:tc>
          <w:tcPr>
            <w:tcW w:w="2677"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基础指标</w:t>
            </w: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w:t>
            </w:r>
          </w:p>
        </w:tc>
        <w:tc>
          <w:tcPr>
            <w:tcW w:w="134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合法稳定住所</w:t>
            </w:r>
          </w:p>
        </w:tc>
        <w:tc>
          <w:tcPr>
            <w:tcW w:w="447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在广州市办理《广东省居住证》，每满1年计8分</w:t>
            </w:r>
            <w:r>
              <w:rPr>
                <w:rFonts w:hint="eastAsia" w:ascii="Times New Roman" w:hAnsi="Times New Roman" w:cs="Times New Roman"/>
                <w:color w:val="auto"/>
                <w:szCs w:val="24"/>
                <w:highlight w:val="none"/>
                <w:lang w:eastAsia="zh-CN"/>
              </w:rPr>
              <w:t>。</w:t>
            </w:r>
          </w:p>
          <w:p>
            <w:pPr>
              <w:pStyle w:val="3"/>
              <w:widowControl/>
              <w:numPr>
                <w:ilvl w:val="0"/>
                <w:numId w:val="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在广州市累积居住年限：</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（1）合法产权住所（20分）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（2）合法租赁住所或单位宿舍，每满1年计5分，最高不超过20分。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 申请人居住地由越秀区、海珠区、荔湾区、天河区转移到本市其他行政区的，每满1年计2分，最高不超过10分。</w:t>
            </w:r>
          </w:p>
        </w:tc>
        <w:tc>
          <w:tcPr>
            <w:tcW w:w="267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既有合法产权住房、又有合法租赁住房的，由申请人选择其中一项计分。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w:t>
            </w:r>
          </w:p>
        </w:tc>
        <w:tc>
          <w:tcPr>
            <w:tcW w:w="134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合法稳定就业</w:t>
            </w:r>
          </w:p>
        </w:tc>
        <w:tc>
          <w:tcPr>
            <w:tcW w:w="447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在广州市就业（创业）并参加城镇基本养老保险、社会医疗保险（含职工社会医疗保险及城乡居民医疗保险）、失业保险、工伤保险、生育保险，每个险种每满1年计2分。在广州市就业（创业）并缴</w:t>
            </w:r>
            <w:r>
              <w:rPr>
                <w:rFonts w:hint="eastAsia" w:ascii="Times New Roman" w:hAnsi="Times New Roman" w:cs="Times New Roman"/>
                <w:color w:val="auto"/>
                <w:szCs w:val="24"/>
                <w:highlight w:val="none"/>
                <w:lang w:eastAsia="zh-CN"/>
              </w:rPr>
              <w:t>存</w:t>
            </w:r>
            <w:r>
              <w:rPr>
                <w:rFonts w:hint="default" w:ascii="Times New Roman" w:hAnsi="Times New Roman" w:cs="Times New Roman"/>
                <w:color w:val="auto"/>
                <w:szCs w:val="24"/>
                <w:highlight w:val="none"/>
              </w:rPr>
              <w:t>住房公积金，每满1年计2分。</w:t>
            </w:r>
          </w:p>
        </w:tc>
        <w:tc>
          <w:tcPr>
            <w:tcW w:w="267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67" w:hRule="atLeast"/>
        </w:trPr>
        <w:tc>
          <w:tcPr>
            <w:tcW w:w="578"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w:t>
            </w:r>
          </w:p>
        </w:tc>
        <w:tc>
          <w:tcPr>
            <w:tcW w:w="134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年龄</w:t>
            </w:r>
          </w:p>
        </w:tc>
        <w:tc>
          <w:tcPr>
            <w:tcW w:w="447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18—40周岁（含40周岁）（30分）</w:t>
            </w:r>
            <w:r>
              <w:rPr>
                <w:rFonts w:hint="eastAsia" w:ascii="Times New Roman" w:hAnsi="Times New Roman" w:cs="Times New Roman"/>
                <w:color w:val="auto"/>
                <w:szCs w:val="24"/>
                <w:highlight w:val="none"/>
                <w:lang w:eastAsia="zh-CN"/>
              </w:rPr>
              <w:t>。</w:t>
            </w:r>
          </w:p>
          <w:p>
            <w:pPr>
              <w:pStyle w:val="3"/>
              <w:widowControl/>
              <w:numPr>
                <w:ilvl w:val="0"/>
                <w:numId w:val="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40周岁以上的，每增加一岁（含不满一岁）少加2分。</w:t>
            </w:r>
          </w:p>
        </w:tc>
        <w:tc>
          <w:tcPr>
            <w:tcW w:w="267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动态调整，最低为0分。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22" w:hRule="atLeast"/>
        </w:trPr>
        <w:tc>
          <w:tcPr>
            <w:tcW w:w="578" w:type="dxa"/>
            <w:vMerge w:val="restart"/>
            <w:tcBorders>
              <w:top w:val="nil"/>
              <w:left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w:t>
            </w:r>
          </w:p>
        </w:tc>
        <w:tc>
          <w:tcPr>
            <w:tcW w:w="1346"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文化程度</w:t>
            </w:r>
          </w:p>
        </w:tc>
        <w:tc>
          <w:tcPr>
            <w:tcW w:w="4476" w:type="dxa"/>
            <w:tcBorders>
              <w:top w:val="nil"/>
              <w:left w:val="nil"/>
              <w:bottom w:val="single" w:color="auto" w:sz="4" w:space="0"/>
              <w:right w:val="single" w:color="auto" w:sz="8" w:space="0"/>
            </w:tcBorders>
            <w:tcMar>
              <w:left w:w="108" w:type="dxa"/>
              <w:right w:w="108" w:type="dxa"/>
            </w:tcMar>
            <w:vAlign w:val="center"/>
          </w:tcPr>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本科及以上学历（30分）</w:t>
            </w:r>
            <w:r>
              <w:rPr>
                <w:rFonts w:hint="eastAsia" w:ascii="Times New Roman" w:hAnsi="Times New Roman" w:cs="Times New Roman"/>
                <w:color w:val="auto"/>
                <w:szCs w:val="24"/>
                <w:highlight w:val="none"/>
                <w:lang w:eastAsia="zh-CN"/>
              </w:rPr>
              <w:t>。</w:t>
            </w:r>
          </w:p>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专科（含高职）（20分）</w:t>
            </w:r>
            <w:r>
              <w:rPr>
                <w:rFonts w:hint="eastAsia" w:ascii="Times New Roman" w:hAnsi="Times New Roman" w:cs="Times New Roman"/>
                <w:color w:val="auto"/>
                <w:szCs w:val="24"/>
                <w:highlight w:val="none"/>
                <w:lang w:eastAsia="zh-CN"/>
              </w:rPr>
              <w:t>。</w:t>
            </w:r>
          </w:p>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高中（含中职）（10分）。</w:t>
            </w:r>
          </w:p>
        </w:tc>
        <w:tc>
          <w:tcPr>
            <w:tcW w:w="2677"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只取最高分，不累计计分。高中以下学历不计分。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continue"/>
            <w:tcBorders>
              <w:left w:val="single" w:color="auto" w:sz="4" w:space="0"/>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tc>
        <w:tc>
          <w:tcPr>
            <w:tcW w:w="4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w:t>
            </w:r>
          </w:p>
        </w:tc>
        <w:tc>
          <w:tcPr>
            <w:tcW w:w="13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技术能力</w:t>
            </w:r>
          </w:p>
        </w:tc>
        <w:tc>
          <w:tcPr>
            <w:tcW w:w="44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中级及以上职称或技师及以上职业资格（20分）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初级职称、职业资格为高级、事业单位工勤技术三级（10分）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职业资格中级、事业单位工勤技术四级（5分）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正在从事与上述专业技术资格证书、职业资格证书相对应职业工种工作（5分）。</w:t>
            </w:r>
          </w:p>
        </w:tc>
        <w:tc>
          <w:tcPr>
            <w:tcW w:w="26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职业资格包括职业技能等级，是指获得国家、广东省、广州市人力资源和社会保障部门认可的国家职业资格。只取最高分，不累计计分。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70" w:hRule="atLeast"/>
        </w:trPr>
        <w:tc>
          <w:tcPr>
            <w:tcW w:w="578" w:type="dxa"/>
            <w:vMerge w:val="restart"/>
            <w:tcBorders>
              <w:top w:val="single" w:color="auto" w:sz="4" w:space="0"/>
              <w:left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both"/>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w:t>
            </w:r>
          </w:p>
        </w:tc>
        <w:tc>
          <w:tcPr>
            <w:tcW w:w="1346"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创新能力</w:t>
            </w:r>
          </w:p>
        </w:tc>
        <w:tc>
          <w:tcPr>
            <w:tcW w:w="4476"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numPr>
                <w:ilvl w:val="0"/>
                <w:numId w:val="5"/>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近5年获得授权的有效专利且授权时的地址为广州市辖区的专利发明人或者设计人，按以下标准给予计分：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属发明专利的，每项专利按20/（人数）计算。最高不超过40分。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属实用新型专利的，每项专利按10/（人数）计算。最高不超过20分。</w:t>
            </w:r>
          </w:p>
          <w:p>
            <w:pPr>
              <w:pStyle w:val="3"/>
              <w:widowControl/>
              <w:numPr>
                <w:ilvl w:val="0"/>
                <w:numId w:val="5"/>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在广州市高新技术企业、新型研发机构从事技术创新和研发的申请人，工作每满1年计2分，最高不超过10分。</w:t>
            </w:r>
          </w:p>
        </w:tc>
        <w:tc>
          <w:tcPr>
            <w:tcW w:w="2677"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专利授权后，专利发明人或设计人发生变更的，不予积分；专利地址变更到非广州市辖区内的，不予积分。对同时满足1和2两项条件的，可以累计计分。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05" w:hRule="atLeast"/>
        </w:trPr>
        <w:tc>
          <w:tcPr>
            <w:tcW w:w="578" w:type="dxa"/>
            <w:vMerge w:val="continue"/>
            <w:tcBorders>
              <w:left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w:t>
            </w:r>
          </w:p>
        </w:tc>
        <w:tc>
          <w:tcPr>
            <w:tcW w:w="134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急需工种或职业资格（职业技能等级）、服务行业</w:t>
            </w:r>
          </w:p>
        </w:tc>
        <w:tc>
          <w:tcPr>
            <w:tcW w:w="447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6"/>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职业工种或职业资格符合当年广州市积分急需工种或职业资格目录（10分）</w:t>
            </w:r>
            <w:r>
              <w:rPr>
                <w:rFonts w:hint="eastAsia" w:ascii="Times New Roman" w:hAnsi="Times New Roman" w:cs="Times New Roman"/>
                <w:color w:val="auto"/>
                <w:szCs w:val="24"/>
                <w:highlight w:val="none"/>
                <w:lang w:eastAsia="zh-CN"/>
              </w:rPr>
              <w:t>。</w:t>
            </w:r>
          </w:p>
          <w:p>
            <w:pPr>
              <w:pStyle w:val="3"/>
              <w:widowControl/>
              <w:numPr>
                <w:ilvl w:val="0"/>
                <w:numId w:val="6"/>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现正从事特殊艰苦行业一线人员（10分）。工作每满1年再加计5分，最高再加分不超过20分。</w:t>
            </w:r>
          </w:p>
        </w:tc>
        <w:tc>
          <w:tcPr>
            <w:tcW w:w="267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45" w:hRule="atLeast"/>
        </w:trPr>
        <w:tc>
          <w:tcPr>
            <w:tcW w:w="578" w:type="dxa"/>
            <w:vMerge w:val="continue"/>
            <w:tcBorders>
              <w:left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w:t>
            </w:r>
          </w:p>
        </w:tc>
        <w:tc>
          <w:tcPr>
            <w:tcW w:w="1346"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社会服务和公益</w:t>
            </w:r>
          </w:p>
        </w:tc>
        <w:tc>
          <w:tcPr>
            <w:tcW w:w="4476" w:type="dxa"/>
            <w:tcBorders>
              <w:top w:val="nil"/>
              <w:left w:val="nil"/>
              <w:bottom w:val="single" w:color="auto" w:sz="4" w:space="0"/>
              <w:right w:val="single" w:color="auto" w:sz="8" w:space="0"/>
            </w:tcBorders>
            <w:tcMar>
              <w:left w:w="108" w:type="dxa"/>
              <w:right w:w="108" w:type="dxa"/>
            </w:tcMar>
            <w:vAlign w:val="center"/>
          </w:tcPr>
          <w:p>
            <w:pPr>
              <w:pStyle w:val="3"/>
              <w:widowControl/>
              <w:numPr>
                <w:ilvl w:val="0"/>
                <w:numId w:val="7"/>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近5年内，参加献血（每次计2分），单项累计最高不超过10分。</w:t>
            </w:r>
          </w:p>
          <w:p>
            <w:pPr>
              <w:pStyle w:val="3"/>
              <w:widowControl/>
              <w:numPr>
                <w:ilvl w:val="0"/>
                <w:numId w:val="7"/>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近5年内，参加志愿者（义工）服务（每满50小时计2分）。1年内计分不超过2分，单项累计最高不超过10分。</w:t>
            </w:r>
          </w:p>
        </w:tc>
        <w:tc>
          <w:tcPr>
            <w:tcW w:w="2677"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95" w:hRule="atLeast"/>
        </w:trPr>
        <w:tc>
          <w:tcPr>
            <w:tcW w:w="578" w:type="dxa"/>
            <w:vMerge w:val="continue"/>
            <w:tcBorders>
              <w:left w:val="single" w:color="auto" w:sz="4" w:space="0"/>
              <w:bottom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6</w:t>
            </w:r>
          </w:p>
        </w:tc>
        <w:tc>
          <w:tcPr>
            <w:tcW w:w="13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纳税情况</w:t>
            </w:r>
          </w:p>
        </w:tc>
        <w:tc>
          <w:tcPr>
            <w:tcW w:w="44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8"/>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对普通劳动者，申报缴纳个人所得税：</w:t>
            </w:r>
          </w:p>
          <w:p>
            <w:pPr>
              <w:pStyle w:val="3"/>
              <w:widowControl/>
              <w:numPr>
                <w:ilvl w:val="0"/>
                <w:numId w:val="0"/>
              </w:numPr>
              <w:adjustRightInd w:val="0"/>
              <w:snapToGrid w:val="0"/>
              <w:spacing w:before="0" w:beforeAutospacing="0" w:after="0" w:afterAutospacing="0" w:line="300" w:lineRule="exact"/>
              <w:ind w:right="0" w:rightChars="0" w:firstLine="480" w:firstLineChars="200"/>
              <w:jc w:val="left"/>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（1）近3个纳税年度累积在广州市缴纳个人所得税：1万—3万元（含1万元，不含3万元）（4分）；3万—6万元（含3万元，不含6万元）（8分）；6万元以上（含6万元）（12分）。</w:t>
            </w:r>
          </w:p>
          <w:p>
            <w:pPr>
              <w:pStyle w:val="3"/>
              <w:widowControl/>
              <w:numPr>
                <w:ilvl w:val="0"/>
                <w:numId w:val="9"/>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近3个纳税年度连续每1年均在广州市申报缴纳综合所得（包括工资薪金所得、劳务报酬所得、稿酬所得，特许权使用费所得）或者经营所得的个人所得税（4分）。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（3）近1个纳税年度按规定办理个人所得税年度汇算清缴申报（含清缴税款）（2分）。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 所投资创办的企业</w:t>
            </w:r>
            <w:bookmarkStart w:id="0" w:name="_GoBack"/>
            <w:bookmarkEnd w:id="0"/>
            <w:r>
              <w:rPr>
                <w:rFonts w:hint="default" w:ascii="Times New Roman" w:hAnsi="Times New Roman" w:cs="Times New Roman"/>
                <w:color w:val="auto"/>
                <w:szCs w:val="24"/>
                <w:highlight w:val="none"/>
              </w:rPr>
              <w:t>，近3个纳税年度累积在广州市纳税：</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（1）5万—10万元（含5万元，不含10万元）（4分）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（2）10万—20万元（含10万元，不含20万元）（8分）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（3）20万元以上（含20万元）（12分）。</w:t>
            </w:r>
          </w:p>
        </w:tc>
        <w:tc>
          <w:tcPr>
            <w:tcW w:w="26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10"/>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一个纳税年度指当年的1月1日至12月31日。</w:t>
            </w:r>
          </w:p>
          <w:p>
            <w:pPr>
              <w:pStyle w:val="3"/>
              <w:widowControl/>
              <w:numPr>
                <w:ilvl w:val="0"/>
                <w:numId w:val="10"/>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对同时满足1和2两项条件的，可以累计计分。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7</w:t>
            </w:r>
          </w:p>
        </w:tc>
        <w:tc>
          <w:tcPr>
            <w:tcW w:w="1346"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表彰奖项</w:t>
            </w:r>
          </w:p>
        </w:tc>
        <w:tc>
          <w:tcPr>
            <w:tcW w:w="4476"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个人获得党中央、国务院授予的奖项和荣誉称号（30分）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个人获得广东省委、省政府或中央和国家机关部委等授予的劳动模范或先进工作者等荣誉称号（20分）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个人获得广州市委、市政府授予的奖项和荣誉称号（10分）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个人获得广州市直机关或各区委、区政府授予的奖项和荣誉称号（5分）。</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个人获得中央军委授予的荣誉称号（30分）。</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个人获得一等功（首次20分，累加每次5分）；获得二等功（首次10分，累加每次2分）；获得三等功（首次5分，累加每次1分）。</w:t>
            </w:r>
          </w:p>
        </w:tc>
        <w:tc>
          <w:tcPr>
            <w:tcW w:w="2677"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只计个人在广州市工作期间获得的奖项。</w:t>
            </w:r>
          </w:p>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同一奖项只取最高分，不同奖项可累计计分。</w:t>
            </w:r>
          </w:p>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服役期间立功受奖情况（指标内容5—6）不受上述限制。</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p>
        </w:tc>
      </w:tr>
    </w:tbl>
    <w:p>
      <w:pPr>
        <w:autoSpaceDE w:val="0"/>
        <w:autoSpaceDN w:val="0"/>
        <w:adjustRightInd w:val="0"/>
        <w:snapToGrid w:val="0"/>
        <w:rPr>
          <w:rFonts w:hint="default" w:ascii="Times New Roman" w:hAnsi="Times New Roman" w:eastAsia="黑体" w:cs="Times New Roman"/>
          <w:color w:val="auto"/>
          <w:sz w:val="28"/>
          <w:szCs w:val="28"/>
          <w:highlight w:val="none"/>
        </w:rPr>
      </w:pPr>
    </w:p>
    <w:p>
      <w:pPr>
        <w:autoSpaceDE w:val="0"/>
        <w:autoSpaceDN w:val="0"/>
        <w:adjustRightInd w:val="0"/>
        <w:snapToGrid w:val="0"/>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CF8A5"/>
    <w:multiLevelType w:val="singleLevel"/>
    <w:tmpl w:val="829CF8A5"/>
    <w:lvl w:ilvl="0" w:tentative="0">
      <w:start w:val="1"/>
      <w:numFmt w:val="decimal"/>
      <w:suff w:val="space"/>
      <w:lvlText w:val="%1."/>
      <w:lvlJc w:val="left"/>
    </w:lvl>
  </w:abstractNum>
  <w:abstractNum w:abstractNumId="1">
    <w:nsid w:val="A407C273"/>
    <w:multiLevelType w:val="singleLevel"/>
    <w:tmpl w:val="A407C273"/>
    <w:lvl w:ilvl="0" w:tentative="0">
      <w:start w:val="1"/>
      <w:numFmt w:val="decimal"/>
      <w:suff w:val="space"/>
      <w:lvlText w:val="%1."/>
      <w:lvlJc w:val="left"/>
    </w:lvl>
  </w:abstractNum>
  <w:abstractNum w:abstractNumId="2">
    <w:nsid w:val="CB01D1C3"/>
    <w:multiLevelType w:val="singleLevel"/>
    <w:tmpl w:val="CB01D1C3"/>
    <w:lvl w:ilvl="0" w:tentative="0">
      <w:start w:val="1"/>
      <w:numFmt w:val="decimal"/>
      <w:suff w:val="space"/>
      <w:lvlText w:val="%1."/>
      <w:lvlJc w:val="left"/>
    </w:lvl>
  </w:abstractNum>
  <w:abstractNum w:abstractNumId="3">
    <w:nsid w:val="DC96FBD3"/>
    <w:multiLevelType w:val="singleLevel"/>
    <w:tmpl w:val="DC96FBD3"/>
    <w:lvl w:ilvl="0" w:tentative="0">
      <w:start w:val="1"/>
      <w:numFmt w:val="decimal"/>
      <w:suff w:val="space"/>
      <w:lvlText w:val="%1."/>
      <w:lvlJc w:val="left"/>
    </w:lvl>
  </w:abstractNum>
  <w:abstractNum w:abstractNumId="4">
    <w:nsid w:val="E5E8D0F4"/>
    <w:multiLevelType w:val="singleLevel"/>
    <w:tmpl w:val="E5E8D0F4"/>
    <w:lvl w:ilvl="0" w:tentative="0">
      <w:start w:val="1"/>
      <w:numFmt w:val="decimal"/>
      <w:suff w:val="space"/>
      <w:lvlText w:val="%1."/>
      <w:lvlJc w:val="left"/>
    </w:lvl>
  </w:abstractNum>
  <w:abstractNum w:abstractNumId="5">
    <w:nsid w:val="E9ADAC0C"/>
    <w:multiLevelType w:val="singleLevel"/>
    <w:tmpl w:val="E9ADAC0C"/>
    <w:lvl w:ilvl="0" w:tentative="0">
      <w:start w:val="2"/>
      <w:numFmt w:val="decimal"/>
      <w:suff w:val="nothing"/>
      <w:lvlText w:val="（%1）"/>
      <w:lvlJc w:val="left"/>
    </w:lvl>
  </w:abstractNum>
  <w:abstractNum w:abstractNumId="6">
    <w:nsid w:val="05F6D64A"/>
    <w:multiLevelType w:val="singleLevel"/>
    <w:tmpl w:val="05F6D64A"/>
    <w:lvl w:ilvl="0" w:tentative="0">
      <w:start w:val="1"/>
      <w:numFmt w:val="decimal"/>
      <w:suff w:val="space"/>
      <w:lvlText w:val="%1."/>
      <w:lvlJc w:val="left"/>
    </w:lvl>
  </w:abstractNum>
  <w:abstractNum w:abstractNumId="7">
    <w:nsid w:val="075093D7"/>
    <w:multiLevelType w:val="singleLevel"/>
    <w:tmpl w:val="075093D7"/>
    <w:lvl w:ilvl="0" w:tentative="0">
      <w:start w:val="1"/>
      <w:numFmt w:val="decimal"/>
      <w:suff w:val="space"/>
      <w:lvlText w:val="%1."/>
      <w:lvlJc w:val="left"/>
    </w:lvl>
  </w:abstractNum>
  <w:abstractNum w:abstractNumId="8">
    <w:nsid w:val="1369A34A"/>
    <w:multiLevelType w:val="singleLevel"/>
    <w:tmpl w:val="1369A34A"/>
    <w:lvl w:ilvl="0" w:tentative="0">
      <w:start w:val="1"/>
      <w:numFmt w:val="decimal"/>
      <w:suff w:val="space"/>
      <w:lvlText w:val="%1."/>
      <w:lvlJc w:val="left"/>
    </w:lvl>
  </w:abstractNum>
  <w:abstractNum w:abstractNumId="9">
    <w:nsid w:val="2B585805"/>
    <w:multiLevelType w:val="singleLevel"/>
    <w:tmpl w:val="2B585805"/>
    <w:lvl w:ilvl="0" w:tentative="0">
      <w:start w:val="1"/>
      <w:numFmt w:val="decimal"/>
      <w:suff w:val="space"/>
      <w:lvlText w:val="%1."/>
      <w:lvlJc w:val="left"/>
    </w:lvl>
  </w:abstractNum>
  <w:abstractNum w:abstractNumId="10">
    <w:nsid w:val="37F2225F"/>
    <w:multiLevelType w:val="singleLevel"/>
    <w:tmpl w:val="37F2225F"/>
    <w:lvl w:ilvl="0" w:tentative="0">
      <w:start w:val="1"/>
      <w:numFmt w:val="decimal"/>
      <w:suff w:val="space"/>
      <w:lvlText w:val="%1."/>
      <w:lvlJc w:val="left"/>
    </w:lvl>
  </w:abstractNum>
  <w:abstractNum w:abstractNumId="11">
    <w:nsid w:val="4B34A7BD"/>
    <w:multiLevelType w:val="singleLevel"/>
    <w:tmpl w:val="4B34A7BD"/>
    <w:lvl w:ilvl="0" w:tentative="0">
      <w:start w:val="1"/>
      <w:numFmt w:val="decimal"/>
      <w:suff w:val="space"/>
      <w:lvlText w:val="%1."/>
      <w:lvlJc w:val="left"/>
    </w:lvl>
  </w:abstractNum>
  <w:num w:numId="1">
    <w:abstractNumId w:val="0"/>
  </w:num>
  <w:num w:numId="2">
    <w:abstractNumId w:val="11"/>
  </w:num>
  <w:num w:numId="3">
    <w:abstractNumId w:val="1"/>
  </w:num>
  <w:num w:numId="4">
    <w:abstractNumId w:val="9"/>
  </w:num>
  <w:num w:numId="5">
    <w:abstractNumId w:val="10"/>
  </w:num>
  <w:num w:numId="6">
    <w:abstractNumId w:val="2"/>
  </w:num>
  <w:num w:numId="7">
    <w:abstractNumId w:val="4"/>
  </w:num>
  <w:num w:numId="8">
    <w:abstractNumId w:val="3"/>
  </w:num>
  <w:num w:numId="9">
    <w:abstractNumId w:val="5"/>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46BEB"/>
    <w:rsid w:val="0AE83426"/>
    <w:rsid w:val="48F45770"/>
    <w:rsid w:val="4A9815BA"/>
    <w:rsid w:val="520303C8"/>
    <w:rsid w:val="571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2022-06-09T08:58:00Z</dcterms:created>
  <dc:creator>Administrator</dc:creator>
  <cp:lastModifiedBy>郑佳琳</cp:lastModifiedBy>
  <dcterms:modified xsi:type="dcterms:W3CDTF">2022-06-10T02:22:57Z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