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附表</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宋体" w:hAnsi="宋体" w:eastAsia="宋体" w:cs="宋体"/>
          <w:i w:val="0"/>
          <w:caps w:val="0"/>
          <w:color w:val="333333"/>
          <w:spacing w:val="0"/>
          <w:sz w:val="16"/>
          <w:szCs w:val="16"/>
        </w:rPr>
      </w:pPr>
      <w:r>
        <w:rPr>
          <w:rStyle w:val="4"/>
          <w:rFonts w:hint="eastAsia" w:ascii="宋体" w:hAnsi="宋体" w:eastAsia="宋体" w:cs="宋体"/>
          <w:i w:val="0"/>
          <w:caps w:val="0"/>
          <w:color w:val="333333"/>
          <w:spacing w:val="0"/>
          <w:sz w:val="28"/>
          <w:szCs w:val="28"/>
          <w:bdr w:val="none" w:color="auto" w:sz="0" w:space="0"/>
          <w:shd w:val="clear" w:fill="FFFFFF"/>
        </w:rPr>
        <w:t>工伤保险行业基准费率及费率浮动简明表</w:t>
      </w:r>
    </w:p>
    <w:tbl>
      <w:tblPr>
        <w:tblW w:w="9225" w:type="dxa"/>
        <w:jc w:val="center"/>
        <w:tblInd w:w="-351"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
      <w:tblGrid>
        <w:gridCol w:w="902"/>
        <w:gridCol w:w="2698"/>
        <w:gridCol w:w="1770"/>
        <w:gridCol w:w="1530"/>
        <w:gridCol w:w="2325"/>
      </w:tblGrid>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rPr>
          <w:trHeight w:val="928" w:hRule="atLeast"/>
          <w:jc w:val="center"/>
        </w:trPr>
        <w:tc>
          <w:tcPr>
            <w:tcW w:w="90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
                <w:sz w:val="24"/>
                <w:szCs w:val="24"/>
                <w:bdr w:val="none" w:color="auto" w:sz="0" w:space="0"/>
              </w:rPr>
              <w:t>行业</w:t>
            </w:r>
            <w:r>
              <w:rPr>
                <w:b/>
                <w:sz w:val="24"/>
                <w:szCs w:val="24"/>
                <w:bdr w:val="none" w:color="auto" w:sz="0" w:space="0"/>
              </w:rPr>
              <w:br w:type="textWrapping"/>
            </w:r>
            <w:r>
              <w:rPr>
                <w:b/>
                <w:sz w:val="24"/>
                <w:szCs w:val="24"/>
                <w:bdr w:val="none" w:color="auto" w:sz="0" w:space="0"/>
              </w:rPr>
              <w:t>类别</w:t>
            </w: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
                <w:sz w:val="24"/>
                <w:szCs w:val="24"/>
                <w:bdr w:val="none" w:color="auto" w:sz="0" w:space="0"/>
              </w:rPr>
              <w:t>上年度工伤保险</w:t>
            </w:r>
            <w:r>
              <w:rPr>
                <w:b/>
                <w:sz w:val="24"/>
                <w:szCs w:val="24"/>
                <w:bdr w:val="none" w:color="auto" w:sz="0" w:space="0"/>
              </w:rPr>
              <w:br w:type="textWrapping"/>
            </w:r>
            <w:r>
              <w:rPr>
                <w:b/>
                <w:sz w:val="24"/>
                <w:szCs w:val="24"/>
                <w:bdr w:val="none" w:color="auto" w:sz="0" w:space="0"/>
              </w:rPr>
              <w:t>支缴率</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
                <w:sz w:val="24"/>
                <w:szCs w:val="24"/>
                <w:bdr w:val="none" w:color="auto" w:sz="0" w:space="0"/>
              </w:rPr>
              <w:t>浮动档次</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
                <w:sz w:val="24"/>
                <w:szCs w:val="24"/>
                <w:bdr w:val="none" w:color="auto" w:sz="0" w:space="0"/>
              </w:rPr>
              <w:t>缴费费率</w:t>
            </w:r>
          </w:p>
        </w:tc>
        <w:tc>
          <w:tcPr>
            <w:tcW w:w="23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
                <w:sz w:val="24"/>
                <w:szCs w:val="24"/>
                <w:bdr w:val="none" w:color="auto" w:sz="0" w:space="0"/>
              </w:rPr>
              <w:t>其他浮动因素</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rPr>
          <w:trHeight w:val="289" w:hRule="atLeast"/>
          <w:jc w:val="center"/>
        </w:trPr>
        <w:tc>
          <w:tcPr>
            <w:tcW w:w="902"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 w:val="0"/>
                <w:sz w:val="24"/>
                <w:szCs w:val="24"/>
                <w:bdr w:val="none" w:color="auto" w:sz="0" w:space="0"/>
              </w:rPr>
              <w:t>一类</w:t>
            </w:r>
            <w:r>
              <w:rPr>
                <w:b w:val="0"/>
                <w:sz w:val="24"/>
                <w:szCs w:val="24"/>
                <w:bdr w:val="none" w:color="auto" w:sz="0" w:space="0"/>
              </w:rPr>
              <w:br w:type="textWrapping"/>
            </w:r>
            <w:r>
              <w:rPr>
                <w:b w:val="0"/>
                <w:sz w:val="24"/>
                <w:szCs w:val="24"/>
                <w:bdr w:val="none" w:color="auto" w:sz="0" w:space="0"/>
              </w:rPr>
              <w:t>行业</w:t>
            </w: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支缴率＞150%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上浮二档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0.30%</w:t>
            </w:r>
          </w:p>
        </w:tc>
        <w:tc>
          <w:tcPr>
            <w:tcW w:w="2325"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sz w:val="24"/>
                <w:szCs w:val="24"/>
                <w:bdr w:val="none" w:color="auto" w:sz="0" w:space="0"/>
              </w:rPr>
              <w:t>1</w:t>
            </w:r>
            <w:r>
              <w:rPr>
                <w:rFonts w:hint="eastAsia" w:ascii="宋体" w:hAnsi="宋体" w:eastAsia="宋体" w:cs="宋体"/>
                <w:b w:val="0"/>
                <w:i w:val="0"/>
                <w:caps w:val="0"/>
                <w:color w:val="000000"/>
                <w:spacing w:val="0"/>
                <w:sz w:val="16"/>
                <w:szCs w:val="16"/>
                <w:bdr w:val="none" w:color="auto" w:sz="0" w:space="0"/>
                <w:shd w:val="clear" w:fill="FFFFFF"/>
              </w:rPr>
              <w:t>.</w:t>
            </w:r>
            <w:r>
              <w:rPr>
                <w:sz w:val="24"/>
                <w:szCs w:val="24"/>
                <w:bdr w:val="none" w:color="auto" w:sz="0" w:space="0"/>
              </w:rPr>
              <w:t>用人单位持有一级安全生产标准化证书或被依法列入安全生产领域联合激励对象，可享受一次再下浮两个档次费率优待（需申请）；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sz w:val="24"/>
                <w:szCs w:val="24"/>
                <w:bdr w:val="none" w:color="auto" w:sz="0" w:space="0"/>
              </w:rPr>
              <w:t>2</w:t>
            </w:r>
            <w:r>
              <w:rPr>
                <w:rFonts w:hint="eastAsia" w:ascii="宋体" w:hAnsi="宋体" w:eastAsia="宋体" w:cs="宋体"/>
                <w:b w:val="0"/>
                <w:i w:val="0"/>
                <w:caps w:val="0"/>
                <w:color w:val="000000"/>
                <w:spacing w:val="0"/>
                <w:sz w:val="16"/>
                <w:szCs w:val="16"/>
                <w:bdr w:val="none" w:color="auto" w:sz="0" w:space="0"/>
                <w:shd w:val="clear" w:fill="FFFFFF"/>
              </w:rPr>
              <w:t>.</w:t>
            </w:r>
            <w:r>
              <w:rPr>
                <w:sz w:val="24"/>
                <w:szCs w:val="24"/>
                <w:bdr w:val="none" w:color="auto" w:sz="0" w:space="0"/>
              </w:rPr>
              <w:t>用人单位持有二级安全生产标准化证书的，可享受一次再下浮一个档次费率优待（需申请）；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sz w:val="24"/>
                <w:szCs w:val="24"/>
                <w:bdr w:val="none" w:color="auto" w:sz="0" w:space="0"/>
              </w:rPr>
              <w:t>3</w:t>
            </w:r>
            <w:r>
              <w:rPr>
                <w:rFonts w:hint="eastAsia" w:ascii="宋体" w:hAnsi="宋体" w:eastAsia="宋体" w:cs="宋体"/>
                <w:b w:val="0"/>
                <w:i w:val="0"/>
                <w:caps w:val="0"/>
                <w:color w:val="000000"/>
                <w:spacing w:val="0"/>
                <w:sz w:val="16"/>
                <w:szCs w:val="16"/>
                <w:bdr w:val="none" w:color="auto" w:sz="0" w:space="0"/>
                <w:shd w:val="clear" w:fill="FFFFFF"/>
              </w:rPr>
              <w:t>.</w:t>
            </w:r>
            <w:r>
              <w:rPr>
                <w:sz w:val="24"/>
                <w:szCs w:val="24"/>
                <w:bdr w:val="none" w:color="auto" w:sz="0" w:space="0"/>
              </w:rPr>
              <w:t>被列入安全生产领域联合惩戒的，再上浮两个费率档次；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sz w:val="24"/>
                <w:szCs w:val="24"/>
                <w:bdr w:val="none" w:color="auto" w:sz="0" w:space="0"/>
              </w:rPr>
              <w:t>4.下浮费率不得低于用人单位所属风险行业类别的最低档次费率，上浮费率不高于用人单位所属风险行业类别最高档次费率。</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150%≥支缴率＞100%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上浮一档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0.24%</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支缴率≤100%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基准费率</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0.20%</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289" w:hRule="atLeast"/>
          <w:jc w:val="center"/>
        </w:trPr>
        <w:tc>
          <w:tcPr>
            <w:tcW w:w="902"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 w:val="0"/>
                <w:sz w:val="24"/>
                <w:szCs w:val="24"/>
                <w:bdr w:val="none" w:color="auto" w:sz="0" w:space="0"/>
              </w:rPr>
              <w:t>二类</w:t>
            </w:r>
            <w:r>
              <w:rPr>
                <w:b w:val="0"/>
                <w:sz w:val="24"/>
                <w:szCs w:val="24"/>
                <w:bdr w:val="none" w:color="auto" w:sz="0" w:space="0"/>
              </w:rPr>
              <w:br w:type="textWrapping"/>
            </w:r>
            <w:r>
              <w:rPr>
                <w:b w:val="0"/>
                <w:sz w:val="24"/>
                <w:szCs w:val="24"/>
                <w:bdr w:val="none" w:color="auto" w:sz="0" w:space="0"/>
              </w:rPr>
              <w:t>行业</w:t>
            </w: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支缴率＞150%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上浮二档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0.60%</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150%≥支缴率＞100%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上浮一档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0.48%</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100%≥支缴率&gt;50%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基准费率</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0.40%</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50%≥支缴率＞0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下浮一档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0.32%</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支缴率=0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下浮二档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0.20%</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289" w:hRule="atLeast"/>
          <w:jc w:val="center"/>
        </w:trPr>
        <w:tc>
          <w:tcPr>
            <w:tcW w:w="902"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 w:val="0"/>
                <w:sz w:val="24"/>
                <w:szCs w:val="24"/>
                <w:bdr w:val="none" w:color="auto" w:sz="0" w:space="0"/>
              </w:rPr>
              <w:t>三类</w:t>
            </w:r>
            <w:r>
              <w:rPr>
                <w:b w:val="0"/>
                <w:sz w:val="24"/>
                <w:szCs w:val="24"/>
                <w:bdr w:val="none" w:color="auto" w:sz="0" w:space="0"/>
              </w:rPr>
              <w:br w:type="textWrapping"/>
            </w:r>
            <w:r>
              <w:rPr>
                <w:b w:val="0"/>
                <w:sz w:val="24"/>
                <w:szCs w:val="24"/>
                <w:bdr w:val="none" w:color="auto" w:sz="0" w:space="0"/>
              </w:rPr>
              <w:t>行业</w:t>
            </w: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支缴率＞150%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上浮二档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1.05%</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150%≥支缴率＞100%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上浮一档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0.84%</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100%≥支缴率&gt;50%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基准费率</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0.70%</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50%≥支缴率＞0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下浮一档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0.56%</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支缴率=0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下浮二档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0.35%</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289" w:hRule="atLeast"/>
          <w:jc w:val="center"/>
        </w:trPr>
        <w:tc>
          <w:tcPr>
            <w:tcW w:w="902"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 w:val="0"/>
                <w:sz w:val="24"/>
                <w:szCs w:val="24"/>
                <w:bdr w:val="none" w:color="auto" w:sz="0" w:space="0"/>
              </w:rPr>
              <w:t>四类</w:t>
            </w:r>
            <w:r>
              <w:rPr>
                <w:b w:val="0"/>
                <w:sz w:val="24"/>
                <w:szCs w:val="24"/>
                <w:bdr w:val="none" w:color="auto" w:sz="0" w:space="0"/>
              </w:rPr>
              <w:br w:type="textWrapping"/>
            </w:r>
            <w:r>
              <w:rPr>
                <w:b w:val="0"/>
                <w:sz w:val="24"/>
                <w:szCs w:val="24"/>
                <w:bdr w:val="none" w:color="auto" w:sz="0" w:space="0"/>
              </w:rPr>
              <w:t>行业</w:t>
            </w: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支缴率＞150%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上浮二档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1.35%</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150%≥支缴率＞100%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上浮一档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1.08%</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100%≥支缴率&gt;50%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基准费率</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0.90%</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50%≥支缴率＞0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下浮一档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0.72%</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支缴率=0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下浮二档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0.45%</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289" w:hRule="atLeast"/>
          <w:jc w:val="center"/>
        </w:trPr>
        <w:tc>
          <w:tcPr>
            <w:tcW w:w="902"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 w:val="0"/>
                <w:sz w:val="24"/>
                <w:szCs w:val="24"/>
                <w:bdr w:val="none" w:color="auto" w:sz="0" w:space="0"/>
              </w:rPr>
              <w:t>五类</w:t>
            </w:r>
            <w:r>
              <w:rPr>
                <w:b w:val="0"/>
                <w:sz w:val="24"/>
                <w:szCs w:val="24"/>
                <w:bdr w:val="none" w:color="auto" w:sz="0" w:space="0"/>
              </w:rPr>
              <w:br w:type="textWrapping"/>
            </w:r>
            <w:r>
              <w:rPr>
                <w:b w:val="0"/>
                <w:sz w:val="24"/>
                <w:szCs w:val="24"/>
                <w:bdr w:val="none" w:color="auto" w:sz="0" w:space="0"/>
              </w:rPr>
              <w:t>行业</w:t>
            </w: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支缴率＞150%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上浮二档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1.65%</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150%≥支缴率＞100%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上浮一档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1.32%</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100%≥支缴率&gt;50%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基准费率</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1.10%</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50%≥支缴率＞0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下浮一档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0.88%</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支缴率=0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下浮二档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0.55%</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rPr>
          <w:trHeight w:val="289" w:hRule="atLeast"/>
          <w:jc w:val="center"/>
        </w:trPr>
        <w:tc>
          <w:tcPr>
            <w:tcW w:w="902"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 w:val="0"/>
                <w:sz w:val="24"/>
                <w:szCs w:val="24"/>
                <w:bdr w:val="none" w:color="auto" w:sz="0" w:space="0"/>
              </w:rPr>
              <w:t>六类</w:t>
            </w:r>
            <w:r>
              <w:rPr>
                <w:b w:val="0"/>
                <w:sz w:val="24"/>
                <w:szCs w:val="24"/>
                <w:bdr w:val="none" w:color="auto" w:sz="0" w:space="0"/>
              </w:rPr>
              <w:br w:type="textWrapping"/>
            </w:r>
            <w:r>
              <w:rPr>
                <w:b w:val="0"/>
                <w:sz w:val="24"/>
                <w:szCs w:val="24"/>
                <w:bdr w:val="none" w:color="auto" w:sz="0" w:space="0"/>
              </w:rPr>
              <w:t>行业</w:t>
            </w: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支缴率＞150%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上浮二档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1.80%</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150%≥支缴率＞100%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上浮一档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1.44%</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100%≥支缴率&gt;50%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基准费率</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1.20%</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50%≥支缴率＞0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下浮一档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0.96%</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支缴率=0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下浮二档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0.60%</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289" w:hRule="atLeast"/>
          <w:jc w:val="center"/>
        </w:trPr>
        <w:tc>
          <w:tcPr>
            <w:tcW w:w="902"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 w:val="0"/>
                <w:sz w:val="24"/>
                <w:szCs w:val="24"/>
                <w:bdr w:val="none" w:color="auto" w:sz="0" w:space="0"/>
              </w:rPr>
              <w:t>七类</w:t>
            </w:r>
            <w:r>
              <w:rPr>
                <w:b w:val="0"/>
                <w:sz w:val="24"/>
                <w:szCs w:val="24"/>
                <w:bdr w:val="none" w:color="auto" w:sz="0" w:space="0"/>
              </w:rPr>
              <w:br w:type="textWrapping"/>
            </w:r>
            <w:r>
              <w:rPr>
                <w:b w:val="0"/>
                <w:sz w:val="24"/>
                <w:szCs w:val="24"/>
                <w:bdr w:val="none" w:color="auto" w:sz="0" w:space="0"/>
              </w:rPr>
              <w:t>行业</w:t>
            </w: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支缴率＞150%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上浮二档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1.95%</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150%≥支缴率＞100%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上浮一档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1.56%</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100%≥支缴率&gt;50%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基准费率</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1.30%</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50%≥支缴率＞0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下浮一档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1.04%</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支缴率=0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下浮二档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0.65%</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rPr>
          <w:trHeight w:val="289" w:hRule="atLeast"/>
          <w:jc w:val="center"/>
        </w:trPr>
        <w:tc>
          <w:tcPr>
            <w:tcW w:w="902"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 w:val="0"/>
                <w:sz w:val="24"/>
                <w:szCs w:val="24"/>
                <w:bdr w:val="none" w:color="auto" w:sz="0" w:space="0"/>
              </w:rPr>
              <w:t>八类</w:t>
            </w:r>
            <w:r>
              <w:rPr>
                <w:b w:val="0"/>
                <w:sz w:val="24"/>
                <w:szCs w:val="24"/>
                <w:bdr w:val="none" w:color="auto" w:sz="0" w:space="0"/>
              </w:rPr>
              <w:br w:type="textWrapping"/>
            </w:r>
            <w:r>
              <w:rPr>
                <w:b w:val="0"/>
                <w:sz w:val="24"/>
                <w:szCs w:val="24"/>
                <w:bdr w:val="none" w:color="auto" w:sz="0" w:space="0"/>
              </w:rPr>
              <w:t>行业</w:t>
            </w: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支缴率＞150%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上浮二档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2.10%</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150%≥支缴率＞100%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上浮一档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1.68%</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100%≥支缴率&gt;50%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基准费率</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1.40%</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50%≥支缴率＞0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下浮一档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1.12%</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Ex>
        <w:trPr>
          <w:trHeight w:val="289" w:hRule="atLeast"/>
          <w:jc w:val="center"/>
        </w:trPr>
        <w:tc>
          <w:tcPr>
            <w:tcW w:w="90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sz w:val="24"/>
                <w:szCs w:val="24"/>
                <w:bdr w:val="none" w:color="auto" w:sz="0" w:space="0"/>
              </w:rPr>
              <w:t>支缴率=0</w:t>
            </w:r>
          </w:p>
        </w:tc>
        <w:tc>
          <w:tcPr>
            <w:tcW w:w="1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下浮二档</w:t>
            </w:r>
          </w:p>
        </w:tc>
        <w:tc>
          <w:tcPr>
            <w:tcW w:w="15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sz w:val="24"/>
                <w:szCs w:val="24"/>
                <w:bdr w:val="none" w:color="auto" w:sz="0" w:space="0"/>
              </w:rPr>
              <w:t>0.70%</w:t>
            </w:r>
          </w:p>
        </w:tc>
        <w:tc>
          <w:tcPr>
            <w:tcW w:w="23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宋体" w:hAnsi="宋体" w:eastAsia="宋体" w:cs="宋体"/>
          <w:i w:val="0"/>
          <w:caps w:val="0"/>
          <w:color w:val="333333"/>
          <w:spacing w:val="0"/>
          <w:sz w:val="16"/>
          <w:szCs w:val="16"/>
        </w:rPr>
      </w:pPr>
      <w:r>
        <w:rPr>
          <w:rFonts w:hint="eastAsia" w:ascii="宋体" w:hAnsi="宋体" w:eastAsia="宋体" w:cs="宋体"/>
          <w:i w:val="0"/>
          <w:caps w:val="0"/>
          <w:color w:val="333333"/>
          <w:spacing w:val="0"/>
          <w:sz w:val="16"/>
          <w:szCs w:val="16"/>
          <w:bdr w:val="none" w:color="auto" w:sz="0" w:space="0"/>
          <w:shd w:val="clear" w:fill="FFFFFF"/>
        </w:rPr>
        <w:t>　　说明：上年度工伤保险支缴率=上一个自然年度内社会保险经办机构已核定应支付用人单位的工伤保险待遇费用（不列入考核范围的待遇费用除外）÷上一个自然年度内用人单位按行业基准费率正常缴纳工伤保险费总额。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1D7249"/>
    <w:rsid w:val="63B03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zxy</dc:creator>
  <cp:lastModifiedBy>＆ xian</cp:lastModifiedBy>
  <dcterms:modified xsi:type="dcterms:W3CDTF">2020-10-20T01:38:14Z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