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widowControl/>
        <w:shd w:val="clear" w:color="auto" w:fill="FFFFFF"/>
        <w:spacing w:line="600" w:lineRule="exact"/>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广州市荔湾区来穗人员随迁子女积分入学</w:t>
      </w:r>
      <w:bookmarkStart w:id="0" w:name="_GoBack"/>
      <w:bookmarkEnd w:id="0"/>
    </w:p>
    <w:p>
      <w:pPr>
        <w:widowControl/>
        <w:shd w:val="clear" w:color="auto" w:fill="FFFFFF"/>
        <w:spacing w:line="600" w:lineRule="exact"/>
        <w:jc w:val="center"/>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指标及分值体系表</w:t>
      </w:r>
    </w:p>
    <w:tbl>
      <w:tblPr>
        <w:tblStyle w:val="3"/>
        <w:tblW w:w="9549" w:type="dxa"/>
        <w:jc w:val="center"/>
        <w:tblInd w:w="-3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52"/>
        <w:gridCol w:w="709"/>
        <w:gridCol w:w="960"/>
        <w:gridCol w:w="3969"/>
        <w:gridCol w:w="3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tblHeader/>
          <w:jc w:val="center"/>
        </w:trPr>
        <w:tc>
          <w:tcPr>
            <w:tcW w:w="652" w:type="dxa"/>
            <w:noWrap w:val="0"/>
            <w:tcMar>
              <w:left w:w="108" w:type="dxa"/>
              <w:right w:w="108" w:type="dxa"/>
            </w:tcMar>
            <w:vAlign w:val="center"/>
          </w:tcPr>
          <w:p>
            <w:pPr>
              <w:widowControl/>
              <w:adjustRightInd w:val="0"/>
              <w:snapToGrid w:val="0"/>
              <w:spacing w:line="0" w:lineRule="atLeast"/>
              <w:jc w:val="center"/>
              <w:rPr>
                <w:rFonts w:hint="eastAsia" w:eastAsia="黑体"/>
                <w:color w:val="000000"/>
                <w:kern w:val="0"/>
                <w:szCs w:val="21"/>
              </w:rPr>
            </w:pPr>
            <w:r>
              <w:rPr>
                <w:rFonts w:hint="eastAsia" w:ascii="宋体" w:hAnsi="宋体" w:eastAsia="黑体"/>
                <w:color w:val="000000"/>
                <w:kern w:val="0"/>
                <w:szCs w:val="21"/>
              </w:rPr>
              <w:t>类别</w:t>
            </w:r>
          </w:p>
        </w:tc>
        <w:tc>
          <w:tcPr>
            <w:tcW w:w="709" w:type="dxa"/>
            <w:noWrap w:val="0"/>
            <w:tcMar>
              <w:left w:w="108" w:type="dxa"/>
              <w:right w:w="108" w:type="dxa"/>
            </w:tcMar>
            <w:vAlign w:val="center"/>
          </w:tcPr>
          <w:p>
            <w:pPr>
              <w:widowControl/>
              <w:adjustRightInd w:val="0"/>
              <w:snapToGrid w:val="0"/>
              <w:spacing w:line="0" w:lineRule="atLeast"/>
              <w:jc w:val="center"/>
              <w:rPr>
                <w:rFonts w:eastAsia="黑体"/>
                <w:color w:val="000000"/>
                <w:kern w:val="0"/>
                <w:szCs w:val="21"/>
              </w:rPr>
            </w:pPr>
            <w:r>
              <w:rPr>
                <w:rFonts w:eastAsia="黑体"/>
                <w:color w:val="000000"/>
                <w:kern w:val="0"/>
                <w:szCs w:val="21"/>
              </w:rPr>
              <w:t>序号</w:t>
            </w:r>
          </w:p>
        </w:tc>
        <w:tc>
          <w:tcPr>
            <w:tcW w:w="960" w:type="dxa"/>
            <w:noWrap w:val="0"/>
            <w:tcMar>
              <w:left w:w="108" w:type="dxa"/>
              <w:right w:w="108" w:type="dxa"/>
            </w:tcMar>
            <w:vAlign w:val="center"/>
          </w:tcPr>
          <w:p>
            <w:pPr>
              <w:widowControl/>
              <w:adjustRightInd w:val="0"/>
              <w:snapToGrid w:val="0"/>
              <w:spacing w:line="0" w:lineRule="atLeast"/>
              <w:jc w:val="center"/>
              <w:rPr>
                <w:rFonts w:eastAsia="黑体"/>
                <w:color w:val="000000"/>
                <w:kern w:val="0"/>
                <w:szCs w:val="21"/>
              </w:rPr>
            </w:pPr>
            <w:r>
              <w:rPr>
                <w:rFonts w:eastAsia="黑体"/>
                <w:color w:val="000000"/>
                <w:kern w:val="0"/>
                <w:szCs w:val="21"/>
              </w:rPr>
              <w:t>指标</w:t>
            </w:r>
          </w:p>
        </w:tc>
        <w:tc>
          <w:tcPr>
            <w:tcW w:w="3969" w:type="dxa"/>
            <w:noWrap w:val="0"/>
            <w:tcMar>
              <w:left w:w="108" w:type="dxa"/>
              <w:right w:w="108" w:type="dxa"/>
            </w:tcMar>
            <w:vAlign w:val="center"/>
          </w:tcPr>
          <w:p>
            <w:pPr>
              <w:widowControl/>
              <w:adjustRightInd w:val="0"/>
              <w:snapToGrid w:val="0"/>
              <w:spacing w:line="0" w:lineRule="atLeast"/>
              <w:jc w:val="center"/>
              <w:rPr>
                <w:rFonts w:eastAsia="黑体"/>
                <w:color w:val="000000"/>
                <w:kern w:val="0"/>
                <w:szCs w:val="21"/>
              </w:rPr>
            </w:pPr>
            <w:r>
              <w:rPr>
                <w:rFonts w:eastAsia="黑体"/>
                <w:color w:val="000000"/>
                <w:kern w:val="0"/>
                <w:szCs w:val="21"/>
              </w:rPr>
              <w:t>指标内容及分值</w:t>
            </w:r>
          </w:p>
        </w:tc>
        <w:tc>
          <w:tcPr>
            <w:tcW w:w="3259" w:type="dxa"/>
            <w:noWrap w:val="0"/>
            <w:tcMar>
              <w:left w:w="108" w:type="dxa"/>
              <w:right w:w="108" w:type="dxa"/>
            </w:tcMar>
            <w:vAlign w:val="center"/>
          </w:tcPr>
          <w:p>
            <w:pPr>
              <w:widowControl/>
              <w:adjustRightInd w:val="0"/>
              <w:snapToGrid w:val="0"/>
              <w:spacing w:line="0" w:lineRule="atLeast"/>
              <w:jc w:val="center"/>
              <w:rPr>
                <w:rFonts w:eastAsia="黑体"/>
                <w:color w:val="000000"/>
                <w:kern w:val="0"/>
                <w:szCs w:val="21"/>
              </w:rPr>
            </w:pPr>
            <w:r>
              <w:rPr>
                <w:rFonts w:eastAsia="黑体"/>
                <w:color w:val="000000"/>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基础指标</w:t>
            </w: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合法稳定住所</w:t>
            </w:r>
          </w:p>
        </w:tc>
        <w:tc>
          <w:tcPr>
            <w:tcW w:w="3969" w:type="dxa"/>
            <w:noWrap w:val="0"/>
            <w:tcMar>
              <w:left w:w="108" w:type="dxa"/>
              <w:right w:w="108" w:type="dxa"/>
            </w:tcMar>
            <w:vAlign w:val="center"/>
          </w:tcPr>
          <w:p>
            <w:pPr>
              <w:widowControl/>
              <w:numPr>
                <w:ilvl w:val="0"/>
                <w:numId w:val="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在广州市办理《广东省居住证》，每满1年计8分；</w:t>
            </w:r>
          </w:p>
          <w:p>
            <w:pPr>
              <w:widowControl/>
              <w:numPr>
                <w:ilvl w:val="0"/>
                <w:numId w:val="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在广州市累计居住年限：</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（1）合法产权住所（20分）；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（2）合法租赁住所或单位宿舍，每满1年计5分，最高不超过20分。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 申请人居住地由越秀区、海珠区、荔湾区、天河区转移到本市其他行政区的，每满1年计2分，最高不超过10分。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既有合法产权住房、又有合法租赁住房的，由申请人选择其中一项计分。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合法稳定就业</w:t>
            </w:r>
          </w:p>
        </w:tc>
        <w:tc>
          <w:tcPr>
            <w:tcW w:w="396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广州市就业（创业）并参加城镇基本养老保险、社会医疗保险（含职工社会医疗保险及城乡居民医疗保险）、失业保险、工伤保险、生育保险，每个险种每满1年计2分。在广州市就业（创业）并缴存住房公积金，每满1年计2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年龄</w:t>
            </w:r>
          </w:p>
        </w:tc>
        <w:tc>
          <w:tcPr>
            <w:tcW w:w="3969" w:type="dxa"/>
            <w:noWrap w:val="0"/>
            <w:tcMar>
              <w:left w:w="108" w:type="dxa"/>
              <w:right w:w="108" w:type="dxa"/>
            </w:tcMar>
            <w:vAlign w:val="center"/>
          </w:tcPr>
          <w:p>
            <w:pPr>
              <w:widowControl/>
              <w:numPr>
                <w:ilvl w:val="0"/>
                <w:numId w:val="2"/>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18—40周岁（含40周岁）（30分）；</w:t>
            </w:r>
          </w:p>
          <w:p>
            <w:pPr>
              <w:widowControl/>
              <w:adjustRightInd w:val="0"/>
              <w:snapToGrid w:val="0"/>
              <w:spacing w:line="0" w:lineRule="atLeast"/>
              <w:ind w:left="42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rPr>
              <w:t>40周岁以上的，每增加一岁（含</w:t>
            </w:r>
          </w:p>
          <w:p>
            <w:pPr>
              <w:widowControl/>
              <w:adjustRightInd w:val="0"/>
              <w:snapToGrid w:val="0"/>
              <w:spacing w:line="0" w:lineRule="atLeas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不满一岁）少加2分。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动态调整，最低为0分。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03" w:hRule="atLeast"/>
          <w:jc w:val="center"/>
        </w:trPr>
        <w:tc>
          <w:tcPr>
            <w:tcW w:w="652" w:type="dxa"/>
            <w:vMerge w:val="restart"/>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加分指标</w:t>
            </w: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文化程度</w:t>
            </w:r>
          </w:p>
        </w:tc>
        <w:tc>
          <w:tcPr>
            <w:tcW w:w="3969" w:type="dxa"/>
            <w:noWrap w:val="0"/>
            <w:tcMar>
              <w:left w:w="108" w:type="dxa"/>
              <w:right w:w="108" w:type="dxa"/>
            </w:tcMar>
            <w:vAlign w:val="center"/>
          </w:tcPr>
          <w:p>
            <w:pPr>
              <w:widowControl/>
              <w:numPr>
                <w:ilvl w:val="0"/>
                <w:numId w:val="3"/>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本科及以上学历（30分）；</w:t>
            </w:r>
          </w:p>
          <w:p>
            <w:pPr>
              <w:widowControl/>
              <w:numPr>
                <w:ilvl w:val="0"/>
                <w:numId w:val="3"/>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专科（含高职）（20分）；</w:t>
            </w:r>
          </w:p>
          <w:p>
            <w:pPr>
              <w:widowControl/>
              <w:adjustRightInd w:val="0"/>
              <w:snapToGrid w:val="0"/>
              <w:spacing w:line="0" w:lineRule="atLeast"/>
              <w:ind w:left="420"/>
              <w:rPr>
                <w:rFonts w:hint="eastAsia"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3.</w:t>
            </w:r>
            <w:r>
              <w:rPr>
                <w:rFonts w:hint="eastAsia" w:ascii="仿宋_GB2312" w:hAnsi="仿宋_GB2312" w:eastAsia="仿宋_GB2312" w:cs="仿宋_GB2312"/>
                <w:color w:val="000000"/>
                <w:kern w:val="0"/>
                <w:szCs w:val="21"/>
              </w:rPr>
              <w:t>高中（含中职）（10分）。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只取最高分，不累计计分。高中以下学历不计分。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技术能力</w:t>
            </w:r>
          </w:p>
        </w:tc>
        <w:tc>
          <w:tcPr>
            <w:tcW w:w="3969" w:type="dxa"/>
            <w:noWrap w:val="0"/>
            <w:tcMar>
              <w:left w:w="108" w:type="dxa"/>
              <w:right w:w="108" w:type="dxa"/>
            </w:tcMar>
            <w:vAlign w:val="center"/>
          </w:tcPr>
          <w:p>
            <w:pPr>
              <w:widowControl/>
              <w:numPr>
                <w:ilvl w:val="0"/>
                <w:numId w:val="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中级及以上职称或技师及以上职业资格（20分）；</w:t>
            </w:r>
          </w:p>
          <w:p>
            <w:pPr>
              <w:widowControl/>
              <w:numPr>
                <w:ilvl w:val="0"/>
                <w:numId w:val="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初级职称、职业资格为高级、事业单位工勤技术三级（10分）；</w:t>
            </w:r>
          </w:p>
          <w:p>
            <w:pPr>
              <w:widowControl/>
              <w:numPr>
                <w:ilvl w:val="0"/>
                <w:numId w:val="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职业资格中级、事业单位工勤技术四级（5分）；</w:t>
            </w:r>
          </w:p>
          <w:p>
            <w:pPr>
              <w:widowControl/>
              <w:numPr>
                <w:ilvl w:val="0"/>
                <w:numId w:val="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正在从事与上述专业技术资格证书、职业资格证书相对应职业工种工作（5分）。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职业资格包括职业技能等级，是指获得国家、广东省、广州市人力资源和社会保障部门认可的国家职业资格。只取最高分，不累计计分。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创新能力</w:t>
            </w:r>
          </w:p>
        </w:tc>
        <w:tc>
          <w:tcPr>
            <w:tcW w:w="3969" w:type="dxa"/>
            <w:noWrap w:val="0"/>
            <w:tcMar>
              <w:left w:w="108" w:type="dxa"/>
              <w:right w:w="108" w:type="dxa"/>
            </w:tcMar>
            <w:vAlign w:val="center"/>
          </w:tcPr>
          <w:p>
            <w:pPr>
              <w:widowControl/>
              <w:numPr>
                <w:ilvl w:val="0"/>
                <w:numId w:val="5"/>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近5年获得授权的有效专利且授权时的地址为广州市辖区的专利发明人或者设计人，按以下标准给予计分：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属发明专利的，每项专利按20/（人数）计算。最高不超过40分。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属实用新型专利的，每项专利按10/（人数）计算。最高不超过20分。</w:t>
            </w:r>
          </w:p>
          <w:p>
            <w:pPr>
              <w:widowControl/>
              <w:numPr>
                <w:ilvl w:val="0"/>
                <w:numId w:val="5"/>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在广州市高新技术企业、新型研发机构从事技术创新和研发的申请人，工作每满1年计2分，最高不超过10分。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专利授权后，专利发明人或设计人发生变更的，不予积分；专利地址变更到非广州市辖区内的，不予积分。对同时满足1和2两项条件的，可以累计计分。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restart"/>
            <w:noWrap w:val="0"/>
            <w:tcMar>
              <w:left w:w="108" w:type="dxa"/>
              <w:right w:w="108" w:type="dxa"/>
            </w:tcMar>
            <w:vAlign w:val="center"/>
          </w:tcPr>
          <w:p>
            <w:pPr>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加分指标</w:t>
            </w: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急需工种或职业资格（职业技能等级）、服务行业</w:t>
            </w:r>
          </w:p>
        </w:tc>
        <w:tc>
          <w:tcPr>
            <w:tcW w:w="3969" w:type="dxa"/>
            <w:noWrap w:val="0"/>
            <w:tcMar>
              <w:left w:w="108" w:type="dxa"/>
              <w:right w:w="108" w:type="dxa"/>
            </w:tcMar>
            <w:vAlign w:val="center"/>
          </w:tcPr>
          <w:p>
            <w:pPr>
              <w:widowControl/>
              <w:numPr>
                <w:ilvl w:val="0"/>
                <w:numId w:val="6"/>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职业工种或职业资格符合当年广州市积分急需工种或职业资格目录（10分）；</w:t>
            </w:r>
          </w:p>
          <w:p>
            <w:pPr>
              <w:widowControl/>
              <w:numPr>
                <w:ilvl w:val="0"/>
                <w:numId w:val="6"/>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现正从事特殊艰苦行业一线人员（10分）。工作每满1年再加5分，最高再加分不超过20分。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continue"/>
            <w:noWrap w:val="0"/>
            <w:tcMar>
              <w:left w:w="108" w:type="dxa"/>
              <w:right w:w="108" w:type="dxa"/>
            </w:tcMar>
            <w:vAlign w:val="center"/>
          </w:tcPr>
          <w:p>
            <w:pPr>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社会服务和公益</w:t>
            </w:r>
          </w:p>
        </w:tc>
        <w:tc>
          <w:tcPr>
            <w:tcW w:w="3969" w:type="dxa"/>
            <w:noWrap w:val="0"/>
            <w:tcMar>
              <w:left w:w="108" w:type="dxa"/>
              <w:right w:w="108" w:type="dxa"/>
            </w:tcMar>
            <w:vAlign w:val="center"/>
          </w:tcPr>
          <w:p>
            <w:pPr>
              <w:widowControl/>
              <w:numPr>
                <w:ilvl w:val="0"/>
                <w:numId w:val="7"/>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近5年内，参加献血（每次计2分），单项累计最高不超过10分。</w:t>
            </w:r>
          </w:p>
          <w:p>
            <w:pPr>
              <w:widowControl/>
              <w:numPr>
                <w:ilvl w:val="0"/>
                <w:numId w:val="7"/>
              </w:numPr>
              <w:adjustRightInd w:val="0"/>
              <w:snapToGrid w:val="0"/>
              <w:spacing w:line="0" w:lineRule="atLeast"/>
              <w:ind w:left="42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近5年内，参加志愿者（义工）</w:t>
            </w:r>
          </w:p>
          <w:p>
            <w:pPr>
              <w:widowControl/>
              <w:adjustRightInd w:val="0"/>
              <w:snapToGrid w:val="0"/>
              <w:spacing w:line="0" w:lineRule="atLeast"/>
              <w:ind w:left="-11"/>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服务（每满50小时计2分）。1年内计分不超过2分，单项累计最高不超过10分。</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62"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纳税情况</w:t>
            </w:r>
          </w:p>
        </w:tc>
        <w:tc>
          <w:tcPr>
            <w:tcW w:w="3969" w:type="dxa"/>
            <w:noWrap w:val="0"/>
            <w:tcMar>
              <w:left w:w="108" w:type="dxa"/>
              <w:right w:w="108" w:type="dxa"/>
            </w:tcMar>
            <w:vAlign w:val="center"/>
          </w:tcPr>
          <w:p>
            <w:pPr>
              <w:widowControl/>
              <w:numPr>
                <w:ilvl w:val="0"/>
                <w:numId w:val="8"/>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普通劳动者，申报缴纳个人所得税：（1）近3个纳税年度累计在广州市缴纳个人所得税：1万—3万元（含1万元，不含3万元）（4分）；3万—6万元（含3万元，不含6万元）（8分）；6万元以上（含6万元）（12分）。</w:t>
            </w:r>
          </w:p>
          <w:p>
            <w:pPr>
              <w:widowControl/>
              <w:numPr>
                <w:ilvl w:val="0"/>
                <w:numId w:val="9"/>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近3个纳税年度连续每1年均在广州市申报缴纳综合所得（包括工资薪金所得、劳务报酬所得、稿酬所得，特许权使用费所得）或者经营所得的个人所得税（4分）。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（3）近1个纳税年度按规定办理个人所得税年度汇算清缴申报（含清缴税款）（2分）。</w:t>
            </w:r>
          </w:p>
          <w:p>
            <w:pPr>
              <w:widowControl/>
              <w:tabs>
                <w:tab w:val="left" w:pos="425"/>
              </w:tabs>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所投资创办的企业，近3个纳税年度累计在广州市纳税：</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（1）5万—10万元（含5万元，不含10万元）（4分）；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（2）10万—20万元（含10万元，不含20万元）（8分）；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（3）20万元以上（含20万元）（12分）。</w:t>
            </w:r>
          </w:p>
        </w:tc>
        <w:tc>
          <w:tcPr>
            <w:tcW w:w="3259" w:type="dxa"/>
            <w:noWrap w:val="0"/>
            <w:tcMar>
              <w:left w:w="108" w:type="dxa"/>
              <w:right w:w="108" w:type="dxa"/>
            </w:tcMar>
            <w:vAlign w:val="center"/>
          </w:tcPr>
          <w:p>
            <w:pPr>
              <w:widowControl/>
              <w:numPr>
                <w:ilvl w:val="0"/>
                <w:numId w:val="10"/>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一个纳税年度指当年的1月1日至12月31日。</w:t>
            </w:r>
          </w:p>
          <w:p>
            <w:pPr>
              <w:widowControl/>
              <w:numPr>
                <w:ilvl w:val="0"/>
                <w:numId w:val="10"/>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对同时满足1和2两项条件的，可以累计计分。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12" w:hRule="atLeast"/>
          <w:jc w:val="center"/>
        </w:trPr>
        <w:tc>
          <w:tcPr>
            <w:tcW w:w="652"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加分指标</w:t>
            </w: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表彰奖项</w:t>
            </w:r>
          </w:p>
        </w:tc>
        <w:tc>
          <w:tcPr>
            <w:tcW w:w="3969" w:type="dxa"/>
            <w:noWrap w:val="0"/>
            <w:tcMar>
              <w:left w:w="108" w:type="dxa"/>
              <w:right w:w="108" w:type="dxa"/>
            </w:tcMar>
            <w:vAlign w:val="center"/>
          </w:tcPr>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个人获得党中央、国务院授予的奖项和荣誉称号（30分）；</w:t>
            </w:r>
          </w:p>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个人获得广东省委、省政府或中央和国家机关部委等授予的劳动模范或先进工作者等荣誉称号（20分）；</w:t>
            </w:r>
          </w:p>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个人获得广州市委、市政府授予的奖项和荣誉称号（10分）；</w:t>
            </w:r>
          </w:p>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个人获得广州市直机关或各区委、区政府授予的奖项和荣誉称号（5分）。</w:t>
            </w:r>
          </w:p>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个人获得中央军委授予的荣誉称号（30分）。</w:t>
            </w:r>
          </w:p>
          <w:p>
            <w:pPr>
              <w:widowControl/>
              <w:numPr>
                <w:ilvl w:val="0"/>
                <w:numId w:val="11"/>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个人获得一等功（首次20分，累加每次5分）；获得二等功（首次10分，累加每次2分）；获得三等功（首次5分，累加每次1分）。</w:t>
            </w:r>
          </w:p>
        </w:tc>
        <w:tc>
          <w:tcPr>
            <w:tcW w:w="3259" w:type="dxa"/>
            <w:noWrap w:val="0"/>
            <w:tcMar>
              <w:left w:w="108" w:type="dxa"/>
              <w:right w:w="108" w:type="dxa"/>
            </w:tcMar>
            <w:vAlign w:val="center"/>
          </w:tcPr>
          <w:p>
            <w:pPr>
              <w:widowControl/>
              <w:numPr>
                <w:ilvl w:val="0"/>
                <w:numId w:val="12"/>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只计个人在广州市工作期间获得的奖项。</w:t>
            </w:r>
          </w:p>
          <w:p>
            <w:pPr>
              <w:widowControl/>
              <w:numPr>
                <w:ilvl w:val="0"/>
                <w:numId w:val="12"/>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同一奖项只取最高分，不同奖项可累计计分。</w:t>
            </w:r>
          </w:p>
          <w:p>
            <w:pPr>
              <w:widowControl/>
              <w:numPr>
                <w:ilvl w:val="0"/>
                <w:numId w:val="12"/>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服役期间立功受奖情况（指标内容5—6）不受上述限制。</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restart"/>
            <w:noWrap w:val="0"/>
            <w:tcMar>
              <w:left w:w="108" w:type="dxa"/>
              <w:right w:w="108" w:type="dxa"/>
            </w:tcMar>
            <w:vAlign w:val="center"/>
          </w:tcPr>
          <w:p>
            <w:pPr>
              <w:widowControl/>
              <w:adjustRightInd w:val="0"/>
              <w:snapToGrid w:val="0"/>
              <w:spacing w:line="0" w:lineRule="atLeast"/>
              <w:jc w:val="center"/>
              <w:rPr>
                <w:rFonts w:hint="eastAsia" w:eastAsia="仿宋_GB2312"/>
                <w:color w:val="000000"/>
                <w:kern w:val="0"/>
                <w:szCs w:val="21"/>
              </w:rPr>
            </w:pPr>
            <w:r>
              <w:rPr>
                <w:rFonts w:hint="eastAsia" w:ascii="宋体" w:hAnsi="宋体" w:eastAsia="仿宋_GB2312"/>
                <w:color w:val="000000"/>
                <w:kern w:val="0"/>
                <w:szCs w:val="21"/>
              </w:rPr>
              <w:t>减分指标</w:t>
            </w:r>
          </w:p>
        </w:tc>
        <w:tc>
          <w:tcPr>
            <w:tcW w:w="709"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信用情况</w:t>
            </w:r>
          </w:p>
        </w:tc>
        <w:tc>
          <w:tcPr>
            <w:tcW w:w="396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信用不良记录，每宗减10分。</w:t>
            </w:r>
          </w:p>
        </w:tc>
        <w:tc>
          <w:tcPr>
            <w:tcW w:w="3259" w:type="dxa"/>
            <w:noWrap w:val="0"/>
            <w:tcMar>
              <w:left w:w="108" w:type="dxa"/>
              <w:right w:w="108" w:type="dxa"/>
            </w:tcMar>
            <w:vAlign w:val="center"/>
          </w:tcPr>
          <w:p>
            <w:pPr>
              <w:widowControl/>
              <w:numPr>
                <w:ilvl w:val="0"/>
                <w:numId w:val="13"/>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适用于在国家、广东省、广州市企业信用信息公示系统或广州市公共信用信息管理系统中有行政处罚信息、不良司法信息、被列入异常名录或标记为异常状态的企业法定代表人及个体工商户户主。</w:t>
            </w:r>
          </w:p>
          <w:p>
            <w:pPr>
              <w:widowControl/>
              <w:numPr>
                <w:ilvl w:val="0"/>
                <w:numId w:val="13"/>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此减分指标积分不适用其随迁子女积分制入学。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宋体" w:hAnsi="宋体" w:eastAsia="仿宋_GB2312"/>
                <w:color w:val="000000"/>
                <w:kern w:val="0"/>
                <w:szCs w:val="21"/>
              </w:rPr>
            </w:pPr>
          </w:p>
        </w:tc>
        <w:tc>
          <w:tcPr>
            <w:tcW w:w="709" w:type="dxa"/>
            <w:noWrap w:val="0"/>
            <w:tcMar>
              <w:left w:w="108" w:type="dxa"/>
              <w:right w:w="108" w:type="dxa"/>
            </w:tcMar>
            <w:vAlign w:val="center"/>
          </w:tcPr>
          <w:p>
            <w:pPr>
              <w:widowControl/>
              <w:adjustRightInd w:val="0"/>
              <w:snapToGrid w:val="0"/>
              <w:spacing w:line="0" w:lineRule="atLeast"/>
              <w:jc w:val="center"/>
              <w:rPr>
                <w:rFonts w:eastAsia="仿宋_GB2312"/>
                <w:color w:val="000000"/>
                <w:kern w:val="0"/>
                <w:szCs w:val="21"/>
              </w:rPr>
            </w:pPr>
            <w:r>
              <w:rPr>
                <w:rFonts w:eastAsia="仿宋_GB2312"/>
                <w:color w:val="000000"/>
                <w:kern w:val="0"/>
                <w:szCs w:val="21"/>
              </w:rPr>
              <w:t>2</w:t>
            </w:r>
          </w:p>
        </w:tc>
        <w:tc>
          <w:tcPr>
            <w:tcW w:w="960" w:type="dxa"/>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违法违规</w:t>
            </w:r>
          </w:p>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情况</w:t>
            </w:r>
          </w:p>
        </w:tc>
        <w:tc>
          <w:tcPr>
            <w:tcW w:w="3969" w:type="dxa"/>
            <w:noWrap w:val="0"/>
            <w:tcMar>
              <w:left w:w="108" w:type="dxa"/>
              <w:right w:w="108" w:type="dxa"/>
            </w:tcMar>
            <w:vAlign w:val="center"/>
          </w:tcPr>
          <w:p>
            <w:pPr>
              <w:widowControl/>
              <w:numPr>
                <w:ilvl w:val="0"/>
                <w:numId w:val="1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近5年内，有偷漏税行为，每次减10分；</w:t>
            </w:r>
          </w:p>
          <w:p>
            <w:pPr>
              <w:widowControl/>
              <w:numPr>
                <w:ilvl w:val="0"/>
                <w:numId w:val="1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近5年内，受到治安管理处罚，每次减10分；</w:t>
            </w:r>
          </w:p>
          <w:p>
            <w:pPr>
              <w:widowControl/>
              <w:numPr>
                <w:ilvl w:val="0"/>
                <w:numId w:val="14"/>
              </w:numPr>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近5年内曾受过刑事处罚，不得申请积分制入户、积分制住房保障或仅申请人享受的其他公共服务。</w:t>
            </w:r>
          </w:p>
        </w:tc>
        <w:tc>
          <w:tcPr>
            <w:tcW w:w="325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此减分指标积分不适用其随迁子女积分制入学。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0" w:hRule="atLeast"/>
          <w:jc w:val="center"/>
        </w:trPr>
        <w:tc>
          <w:tcPr>
            <w:tcW w:w="652" w:type="dxa"/>
            <w:vMerge w:val="restart"/>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区域指标</w:t>
            </w:r>
          </w:p>
        </w:tc>
        <w:tc>
          <w:tcPr>
            <w:tcW w:w="709" w:type="dxa"/>
            <w:vMerge w:val="restart"/>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960" w:type="dxa"/>
            <w:vMerge w:val="restart"/>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区域加分（最高为30分，可以累计，但不能超30分；本积分在我区积分入学系统申请）</w:t>
            </w:r>
          </w:p>
        </w:tc>
        <w:tc>
          <w:tcPr>
            <w:tcW w:w="3969" w:type="dxa"/>
            <w:noWrap w:val="0"/>
            <w:tcMar>
              <w:left w:w="108" w:type="dxa"/>
              <w:right w:w="108" w:type="dxa"/>
            </w:tcMar>
            <w:vAlign w:val="center"/>
          </w:tcPr>
          <w:p>
            <w:pPr>
              <w:widowControl/>
              <w:numPr>
                <w:ilvl w:val="0"/>
                <w:numId w:val="15"/>
              </w:numPr>
              <w:adjustRightInd w:val="0"/>
              <w:snapToGrid w:val="0"/>
              <w:spacing w:line="0" w:lineRule="atLeast"/>
              <w:ind w:firstLine="420" w:firstLine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在我区连续稳定居住（购房或租赁）并在我区办理居住证满5年。</w:t>
            </w:r>
          </w:p>
          <w:p>
            <w:pPr>
              <w:widowControl/>
              <w:numPr>
                <w:ilvl w:val="0"/>
                <w:numId w:val="15"/>
              </w:numPr>
              <w:adjustRightInd w:val="0"/>
              <w:snapToGrid w:val="0"/>
              <w:spacing w:line="0" w:lineRule="atLeast"/>
              <w:ind w:firstLine="420" w:firstLine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在我区就业创业并依法缴纳社会保险满5年。(30分）                         </w:t>
            </w:r>
          </w:p>
        </w:tc>
        <w:tc>
          <w:tcPr>
            <w:tcW w:w="3259" w:type="dxa"/>
            <w:vMerge w:val="restart"/>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1.连续稳定居住，购房的以房产证、购房合同为准；租赁的以租赁备案为准；居住证时长以广州市来穗人员信息系统查询为准。</w:t>
            </w:r>
          </w:p>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2.在我区就业的需提供就业登记证明，创业的提供有效期内营业执照。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960"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3969" w:type="dxa"/>
            <w:noWrap w:val="0"/>
            <w:tcMar>
              <w:left w:w="108" w:type="dxa"/>
              <w:right w:w="108" w:type="dxa"/>
            </w:tcMar>
            <w:vAlign w:val="center"/>
          </w:tcPr>
          <w:p>
            <w:pPr>
              <w:widowControl/>
              <w:adjustRightInd w:val="0"/>
              <w:snapToGrid w:val="0"/>
              <w:spacing w:line="0" w:lineRule="atLeast"/>
              <w:ind w:firstLine="420" w:firstLine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1.在我区连续稳定居住（购房或租赁）并在我区办理居住证不满5年的。</w:t>
            </w:r>
          </w:p>
          <w:p>
            <w:pPr>
              <w:widowControl/>
              <w:adjustRightInd w:val="0"/>
              <w:snapToGrid w:val="0"/>
              <w:spacing w:line="0" w:lineRule="atLeast"/>
              <w:ind w:firstLine="420" w:firstLine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2.在我区就业创业并依法缴纳社会保险不满5年的。（15分）</w:t>
            </w:r>
          </w:p>
        </w:tc>
        <w:tc>
          <w:tcPr>
            <w:tcW w:w="3259" w:type="dxa"/>
            <w:vMerge w:val="continue"/>
            <w:noWrap w:val="0"/>
            <w:tcMar>
              <w:left w:w="108" w:type="dxa"/>
              <w:right w:w="108" w:type="dxa"/>
            </w:tcMar>
            <w:vAlign w:val="center"/>
          </w:tcPr>
          <w:p>
            <w:pPr>
              <w:widowControl/>
              <w:spacing w:line="0" w:lineRule="atLeast"/>
              <w:ind w:right="-107" w:rightChars="-51"/>
              <w:jc w:val="left"/>
              <w:rPr>
                <w:rFonts w:hint="eastAsia" w:ascii="仿宋_GB2312" w:hAnsi="仿宋_GB2312" w:eastAsia="仿宋_GB2312" w:cs="仿宋_GB2312"/>
                <w:color w:val="000000"/>
                <w:spacing w:val="-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960"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396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在我区党政机关、事业单位工作的合同制人员且工作累计满1年以上。（10分）</w:t>
            </w:r>
          </w:p>
        </w:tc>
        <w:tc>
          <w:tcPr>
            <w:tcW w:w="3259" w:type="dxa"/>
            <w:noWrap w:val="0"/>
            <w:tcMar>
              <w:left w:w="108" w:type="dxa"/>
              <w:right w:w="108" w:type="dxa"/>
            </w:tcMar>
            <w:vAlign w:val="center"/>
          </w:tcPr>
          <w:p>
            <w:pPr>
              <w:widowControl/>
              <w:adjustRightInd w:val="0"/>
              <w:snapToGrid w:val="0"/>
              <w:spacing w:line="0" w:lineRule="atLeas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提供劳动合同和单位工作证明（如果劳动合同属于第三方外派形式的，在合同上必须要有注明派遣单位）。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960"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396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随迁子女在我区就读小学，拥有我区学籍的，每个学年积5分。</w:t>
            </w:r>
          </w:p>
        </w:tc>
        <w:tc>
          <w:tcPr>
            <w:tcW w:w="3259" w:type="dxa"/>
            <w:noWrap w:val="0"/>
            <w:tcMar>
              <w:left w:w="108" w:type="dxa"/>
              <w:right w:w="108" w:type="dxa"/>
            </w:tcMar>
            <w:vAlign w:val="center"/>
          </w:tcPr>
          <w:p>
            <w:pPr>
              <w:widowControl/>
              <w:adjustRightInd w:val="0"/>
              <w:snapToGrid w:val="0"/>
              <w:spacing w:line="0" w:lineRule="atLeas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以教育局和学校出具的学籍证明为准。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0" w:hRule="atLeast"/>
          <w:jc w:val="center"/>
        </w:trPr>
        <w:tc>
          <w:tcPr>
            <w:tcW w:w="652"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709"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960" w:type="dxa"/>
            <w:vMerge w:val="continue"/>
            <w:noWrap w:val="0"/>
            <w:tcMar>
              <w:left w:w="108" w:type="dxa"/>
              <w:right w:w="108" w:type="dxa"/>
            </w:tcMar>
            <w:vAlign w:val="center"/>
          </w:tcPr>
          <w:p>
            <w:pPr>
              <w:widowControl/>
              <w:adjustRightInd w:val="0"/>
              <w:snapToGrid w:val="0"/>
              <w:spacing w:line="0" w:lineRule="atLeast"/>
              <w:jc w:val="center"/>
              <w:rPr>
                <w:rFonts w:hint="eastAsia" w:ascii="仿宋_GB2312" w:hAnsi="仿宋_GB2312" w:eastAsia="仿宋_GB2312" w:cs="仿宋_GB2312"/>
                <w:color w:val="000000"/>
                <w:kern w:val="0"/>
                <w:szCs w:val="21"/>
              </w:rPr>
            </w:pPr>
          </w:p>
        </w:tc>
        <w:tc>
          <w:tcPr>
            <w:tcW w:w="3969" w:type="dxa"/>
            <w:noWrap w:val="0"/>
            <w:tcMar>
              <w:left w:w="108" w:type="dxa"/>
              <w:right w:w="108" w:type="dxa"/>
            </w:tcMar>
            <w:vAlign w:val="center"/>
          </w:tcPr>
          <w:p>
            <w:pPr>
              <w:widowControl/>
              <w:adjustRightInd w:val="0"/>
              <w:snapToGrid w:val="0"/>
              <w:spacing w:line="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近三年内个人获得区委、区政府授予的奖项和荣誉称号（10分）</w:t>
            </w:r>
          </w:p>
        </w:tc>
        <w:tc>
          <w:tcPr>
            <w:tcW w:w="3259" w:type="dxa"/>
            <w:noWrap w:val="0"/>
            <w:tcMar>
              <w:left w:w="108" w:type="dxa"/>
              <w:right w:w="108" w:type="dxa"/>
            </w:tcMar>
            <w:vAlign w:val="center"/>
          </w:tcPr>
          <w:p>
            <w:pPr>
              <w:widowControl/>
              <w:adjustRightInd w:val="0"/>
              <w:snapToGrid w:val="0"/>
              <w:spacing w:line="0" w:lineRule="atLeas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表彰奖项主管部门颁发的荣誉称号证书或表彰奖励的文件。</w:t>
            </w:r>
          </w:p>
        </w:tc>
      </w:tr>
    </w:tbl>
    <w:p>
      <w:pPr>
        <w:widowControl/>
        <w:jc w:val="left"/>
        <w:rPr>
          <w:rFonts w:eastAsia="仿宋_GB2312"/>
          <w:color w:val="000000"/>
          <w:kern w:val="0"/>
          <w:sz w:val="24"/>
        </w:rPr>
      </w:pPr>
      <w:r>
        <w:rPr>
          <w:rFonts w:eastAsia="仿宋_GB2312"/>
          <w:color w:val="000000"/>
          <w:kern w:val="0"/>
          <w:sz w:val="24"/>
        </w:rPr>
        <w:t>备注：1.基础指标和加分指标的分值须在当年3月31日前登陆“广州市来穗人员积分制服务管理信息系统”申请积分并获得核定分值。</w:t>
      </w:r>
    </w:p>
    <w:p>
      <w:pPr>
        <w:widowControl/>
        <w:ind w:firstLine="720" w:firstLineChars="300"/>
        <w:jc w:val="left"/>
        <w:rPr>
          <w:rFonts w:hint="eastAsia"/>
          <w:color w:val="000000"/>
        </w:rPr>
      </w:pPr>
      <w:r>
        <w:rPr>
          <w:rFonts w:hint="eastAsia" w:eastAsia="仿宋_GB2312"/>
          <w:color w:val="000000"/>
          <w:kern w:val="0"/>
          <w:sz w:val="24"/>
        </w:rPr>
        <w:t>2.</w:t>
      </w:r>
      <w:r>
        <w:rPr>
          <w:rFonts w:eastAsia="仿宋_GB2312"/>
          <w:color w:val="000000"/>
          <w:kern w:val="0"/>
          <w:sz w:val="24"/>
        </w:rPr>
        <w:t>区域指标的分值要在我区积分入学系统申请。申请小学一年级学位需提供：户口簿、父母身份证（儿童有身份证也要提交）、儿童出生证；申请初中一年级学位需提供：户口簿、父母及学生身份证、学生学籍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CF8A5"/>
    <w:multiLevelType w:val="singleLevel"/>
    <w:tmpl w:val="829CF8A5"/>
    <w:lvl w:ilvl="0" w:tentative="0">
      <w:start w:val="1"/>
      <w:numFmt w:val="decimal"/>
      <w:suff w:val="space"/>
      <w:lvlText w:val="%1."/>
      <w:lvlJc w:val="left"/>
    </w:lvl>
  </w:abstractNum>
  <w:abstractNum w:abstractNumId="1">
    <w:nsid w:val="A407C273"/>
    <w:multiLevelType w:val="singleLevel"/>
    <w:tmpl w:val="A407C273"/>
    <w:lvl w:ilvl="0" w:tentative="0">
      <w:start w:val="1"/>
      <w:numFmt w:val="decimal"/>
      <w:suff w:val="space"/>
      <w:lvlText w:val="%1."/>
      <w:lvlJc w:val="left"/>
    </w:lvl>
  </w:abstractNum>
  <w:abstractNum w:abstractNumId="2">
    <w:nsid w:val="CB01D1C3"/>
    <w:multiLevelType w:val="singleLevel"/>
    <w:tmpl w:val="CB01D1C3"/>
    <w:lvl w:ilvl="0" w:tentative="0">
      <w:start w:val="1"/>
      <w:numFmt w:val="decimal"/>
      <w:suff w:val="space"/>
      <w:lvlText w:val="%1."/>
      <w:lvlJc w:val="left"/>
    </w:lvl>
  </w:abstractNum>
  <w:abstractNum w:abstractNumId="3">
    <w:nsid w:val="E5E8D0F4"/>
    <w:multiLevelType w:val="singleLevel"/>
    <w:tmpl w:val="E5E8D0F4"/>
    <w:lvl w:ilvl="0" w:tentative="0">
      <w:start w:val="1"/>
      <w:numFmt w:val="decimal"/>
      <w:suff w:val="space"/>
      <w:lvlText w:val="%1."/>
      <w:lvlJc w:val="left"/>
    </w:lvl>
  </w:abstractNum>
  <w:abstractNum w:abstractNumId="4">
    <w:nsid w:val="E9ADAC0C"/>
    <w:multiLevelType w:val="singleLevel"/>
    <w:tmpl w:val="E9ADAC0C"/>
    <w:lvl w:ilvl="0" w:tentative="0">
      <w:start w:val="2"/>
      <w:numFmt w:val="decimal"/>
      <w:suff w:val="nothing"/>
      <w:lvlText w:val="（%1）"/>
      <w:lvlJc w:val="left"/>
    </w:lvl>
  </w:abstractNum>
  <w:abstractNum w:abstractNumId="5">
    <w:nsid w:val="05F6D64A"/>
    <w:multiLevelType w:val="singleLevel"/>
    <w:tmpl w:val="05F6D64A"/>
    <w:lvl w:ilvl="0" w:tentative="0">
      <w:start w:val="1"/>
      <w:numFmt w:val="decimal"/>
      <w:suff w:val="space"/>
      <w:lvlText w:val="%1."/>
      <w:lvlJc w:val="left"/>
    </w:lvl>
  </w:abstractNum>
  <w:abstractNum w:abstractNumId="6">
    <w:nsid w:val="075093D7"/>
    <w:multiLevelType w:val="singleLevel"/>
    <w:tmpl w:val="075093D7"/>
    <w:lvl w:ilvl="0" w:tentative="0">
      <w:start w:val="1"/>
      <w:numFmt w:val="decimal"/>
      <w:suff w:val="space"/>
      <w:lvlText w:val="%1."/>
      <w:lvlJc w:val="left"/>
    </w:lvl>
  </w:abstractNum>
  <w:abstractNum w:abstractNumId="7">
    <w:nsid w:val="1369A34A"/>
    <w:multiLevelType w:val="singleLevel"/>
    <w:tmpl w:val="1369A34A"/>
    <w:lvl w:ilvl="0" w:tentative="0">
      <w:start w:val="1"/>
      <w:numFmt w:val="decimal"/>
      <w:suff w:val="space"/>
      <w:lvlText w:val="%1."/>
      <w:lvlJc w:val="left"/>
    </w:lvl>
  </w:abstractNum>
  <w:abstractNum w:abstractNumId="8">
    <w:nsid w:val="141E5528"/>
    <w:multiLevelType w:val="singleLevel"/>
    <w:tmpl w:val="141E5528"/>
    <w:lvl w:ilvl="0" w:tentative="0">
      <w:start w:val="1"/>
      <w:numFmt w:val="decimal"/>
      <w:suff w:val="space"/>
      <w:lvlText w:val="%1."/>
      <w:lvlJc w:val="left"/>
    </w:lvl>
  </w:abstractNum>
  <w:abstractNum w:abstractNumId="9">
    <w:nsid w:val="2B585805"/>
    <w:multiLevelType w:val="singleLevel"/>
    <w:tmpl w:val="2B585805"/>
    <w:lvl w:ilvl="0" w:tentative="0">
      <w:start w:val="1"/>
      <w:numFmt w:val="decimal"/>
      <w:suff w:val="space"/>
      <w:lvlText w:val="%1."/>
      <w:lvlJc w:val="left"/>
    </w:lvl>
  </w:abstractNum>
  <w:abstractNum w:abstractNumId="10">
    <w:nsid w:val="3433DF7E"/>
    <w:multiLevelType w:val="singleLevel"/>
    <w:tmpl w:val="3433DF7E"/>
    <w:lvl w:ilvl="0" w:tentative="0">
      <w:start w:val="1"/>
      <w:numFmt w:val="decimal"/>
      <w:suff w:val="space"/>
      <w:lvlText w:val="%1."/>
      <w:lvlJc w:val="left"/>
    </w:lvl>
  </w:abstractNum>
  <w:abstractNum w:abstractNumId="11">
    <w:nsid w:val="37F2225F"/>
    <w:multiLevelType w:val="singleLevel"/>
    <w:tmpl w:val="37F2225F"/>
    <w:lvl w:ilvl="0" w:tentative="0">
      <w:start w:val="1"/>
      <w:numFmt w:val="decimal"/>
      <w:suff w:val="space"/>
      <w:lvlText w:val="%1."/>
      <w:lvlJc w:val="left"/>
    </w:lvl>
  </w:abstractNum>
  <w:abstractNum w:abstractNumId="12">
    <w:nsid w:val="3CB4A690"/>
    <w:multiLevelType w:val="singleLevel"/>
    <w:tmpl w:val="3CB4A690"/>
    <w:lvl w:ilvl="0" w:tentative="0">
      <w:start w:val="1"/>
      <w:numFmt w:val="decimal"/>
      <w:suff w:val="space"/>
      <w:lvlText w:val="%1."/>
      <w:lvlJc w:val="left"/>
    </w:lvl>
  </w:abstractNum>
  <w:abstractNum w:abstractNumId="13">
    <w:nsid w:val="4B34A7BD"/>
    <w:multiLevelType w:val="singleLevel"/>
    <w:tmpl w:val="4B34A7BD"/>
    <w:lvl w:ilvl="0" w:tentative="0">
      <w:start w:val="1"/>
      <w:numFmt w:val="decimal"/>
      <w:suff w:val="space"/>
      <w:lvlText w:val="%1."/>
      <w:lvlJc w:val="left"/>
    </w:lvl>
  </w:abstractNum>
  <w:abstractNum w:abstractNumId="14">
    <w:nsid w:val="7EB070E9"/>
    <w:multiLevelType w:val="singleLevel"/>
    <w:tmpl w:val="7EB070E9"/>
    <w:lvl w:ilvl="0" w:tentative="0">
      <w:start w:val="1"/>
      <w:numFmt w:val="decimal"/>
      <w:lvlText w:val="%1."/>
      <w:lvlJc w:val="left"/>
      <w:pPr>
        <w:tabs>
          <w:tab w:val="left" w:pos="312"/>
        </w:tabs>
      </w:pPr>
    </w:lvl>
  </w:abstractNum>
  <w:num w:numId="1">
    <w:abstractNumId w:val="0"/>
  </w:num>
  <w:num w:numId="2">
    <w:abstractNumId w:val="13"/>
  </w:num>
  <w:num w:numId="3">
    <w:abstractNumId w:val="1"/>
  </w:num>
  <w:num w:numId="4">
    <w:abstractNumId w:val="9"/>
  </w:num>
  <w:num w:numId="5">
    <w:abstractNumId w:val="11"/>
  </w:num>
  <w:num w:numId="6">
    <w:abstractNumId w:val="2"/>
  </w:num>
  <w:num w:numId="7">
    <w:abstractNumId w:val="3"/>
  </w:num>
  <w:num w:numId="8">
    <w:abstractNumId w:val="8"/>
  </w:num>
  <w:num w:numId="9">
    <w:abstractNumId w:val="4"/>
  </w:num>
  <w:num w:numId="10">
    <w:abstractNumId w:val="7"/>
  </w:num>
  <w:num w:numId="11">
    <w:abstractNumId w:val="5"/>
  </w:num>
  <w:num w:numId="12">
    <w:abstractNumId w:val="6"/>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5451D"/>
    <w:rsid w:val="70854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仿宋_GB2312" w:eastAsia="仿宋_GB2312" w:cs="Times New Roman"/>
      <w:snapToGrid w:val="0"/>
      <w:spacing w:val="6"/>
      <w:kern w:val="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2022-03-22T09:45:00Z</dcterms:created>
  <dc:creator>Lenovo</dc:creator>
  <cp:lastModifiedBy>Lenovo</cp:lastModifiedBy>
  <dcterms:modified xsi:type="dcterms:W3CDTF">2022-03-22T09:45:32Z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