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7D" w:rsidRPr="00F96AD2" w:rsidRDefault="00C0787D" w:rsidP="00C0787D">
      <w:pPr>
        <w:spacing w:line="58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附件2</w:t>
      </w:r>
    </w:p>
    <w:tbl>
      <w:tblPr>
        <w:tblW w:w="15660" w:type="dxa"/>
        <w:tblInd w:w="93" w:type="dxa"/>
        <w:tblLayout w:type="fixed"/>
        <w:tblLook w:val="0000"/>
      </w:tblPr>
      <w:tblGrid>
        <w:gridCol w:w="820"/>
        <w:gridCol w:w="657"/>
        <w:gridCol w:w="843"/>
        <w:gridCol w:w="7620"/>
        <w:gridCol w:w="3020"/>
        <w:gridCol w:w="2700"/>
      </w:tblGrid>
      <w:tr w:rsidR="00C0787D" w:rsidRPr="00F96AD2" w:rsidTr="00C72969">
        <w:trPr>
          <w:trHeight w:val="510"/>
          <w:tblHeader/>
        </w:trPr>
        <w:tc>
          <w:tcPr>
            <w:tcW w:w="15660" w:type="dxa"/>
            <w:gridSpan w:val="6"/>
            <w:tcBorders>
              <w:top w:val="nil"/>
              <w:left w:val="nil"/>
              <w:bottom w:val="single" w:sz="4" w:space="0" w:color="auto"/>
              <w:right w:val="nil"/>
            </w:tcBorders>
            <w:noWrap/>
            <w:vAlign w:val="center"/>
          </w:tcPr>
          <w:p w:rsidR="00C0787D" w:rsidRPr="00F96AD2" w:rsidRDefault="00C0787D" w:rsidP="009857E1">
            <w:pPr>
              <w:widowControl/>
              <w:spacing w:line="480" w:lineRule="auto"/>
              <w:jc w:val="center"/>
              <w:rPr>
                <w:rFonts w:asciiTheme="minorEastAsia" w:eastAsiaTheme="minorEastAsia" w:hAnsiTheme="minorEastAsia"/>
                <w:kern w:val="0"/>
                <w:sz w:val="24"/>
                <w:szCs w:val="24"/>
              </w:rPr>
            </w:pPr>
            <w:r w:rsidRPr="009857E1">
              <w:rPr>
                <w:rFonts w:asciiTheme="minorEastAsia" w:eastAsiaTheme="minorEastAsia" w:hAnsiTheme="minorEastAsia" w:cs="宋体" w:hint="eastAsia"/>
                <w:b/>
                <w:kern w:val="0"/>
                <w:sz w:val="24"/>
                <w:szCs w:val="24"/>
              </w:rPr>
              <w:t>广州市水务建设市场监理企业市场行为评价标准</w:t>
            </w:r>
          </w:p>
        </w:tc>
      </w:tr>
      <w:tr w:rsidR="00C0787D" w:rsidRPr="00F96AD2" w:rsidTr="00C72969">
        <w:trPr>
          <w:trHeight w:val="420"/>
          <w:tblHeader/>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序号</w:t>
            </w:r>
          </w:p>
        </w:tc>
        <w:tc>
          <w:tcPr>
            <w:tcW w:w="1500" w:type="dxa"/>
            <w:gridSpan w:val="2"/>
            <w:tcBorders>
              <w:top w:val="single" w:sz="4" w:space="0" w:color="auto"/>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评价项目</w:t>
            </w:r>
          </w:p>
        </w:tc>
        <w:tc>
          <w:tcPr>
            <w:tcW w:w="7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评价标准</w:t>
            </w:r>
          </w:p>
        </w:tc>
        <w:tc>
          <w:tcPr>
            <w:tcW w:w="3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认定依据</w:t>
            </w:r>
          </w:p>
        </w:tc>
        <w:tc>
          <w:tcPr>
            <w:tcW w:w="2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备注</w:t>
            </w:r>
          </w:p>
        </w:tc>
      </w:tr>
      <w:tr w:rsidR="00C0787D" w:rsidRPr="00F96AD2" w:rsidTr="00C72969">
        <w:trPr>
          <w:trHeight w:val="285"/>
        </w:trPr>
        <w:tc>
          <w:tcPr>
            <w:tcW w:w="15660" w:type="dxa"/>
            <w:gridSpan w:val="6"/>
            <w:tcBorders>
              <w:top w:val="single" w:sz="4" w:space="0" w:color="auto"/>
              <w:left w:val="single" w:sz="4" w:space="0" w:color="auto"/>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一、加分部分</w:t>
            </w:r>
          </w:p>
        </w:tc>
      </w:tr>
      <w:tr w:rsidR="00C0787D" w:rsidRPr="00F96AD2" w:rsidTr="00C72969">
        <w:trPr>
          <w:trHeight w:val="1725"/>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500" w:type="dxa"/>
            <w:gridSpan w:val="2"/>
            <w:tcBorders>
              <w:top w:val="single" w:sz="4" w:space="0" w:color="auto"/>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累计中标额</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近二年在广州地区中标的水务工程，其累计中标额排名第</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11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8</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21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30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6</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31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49</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50</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150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150</w:t>
            </w:r>
            <w:r w:rsidRPr="00F96AD2">
              <w:rPr>
                <w:rFonts w:asciiTheme="minorEastAsia" w:eastAsiaTheme="minorEastAsia" w:hAnsiTheme="minorEastAsia" w:hint="eastAsia"/>
                <w:kern w:val="0"/>
                <w:sz w:val="24"/>
                <w:szCs w:val="24"/>
              </w:rPr>
              <w:t>名之后的得</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分，无中标项目的得</w:t>
            </w:r>
            <w:r w:rsidRPr="00F96AD2">
              <w:rPr>
                <w:rFonts w:asciiTheme="minorEastAsia" w:eastAsiaTheme="minorEastAsia" w:hAnsiTheme="minorEastAsia"/>
                <w:kern w:val="0"/>
                <w:sz w:val="24"/>
                <w:szCs w:val="24"/>
              </w:rPr>
              <w:t>0</w:t>
            </w:r>
            <w:r w:rsidRPr="00F96AD2">
              <w:rPr>
                <w:rFonts w:asciiTheme="minorEastAsia" w:eastAsiaTheme="minorEastAsia" w:hAnsiTheme="minorEastAsia" w:hint="eastAsia"/>
                <w:kern w:val="0"/>
                <w:sz w:val="24"/>
                <w:szCs w:val="24"/>
              </w:rPr>
              <w:t>分。</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广州公共资源交易中心发出的中标通知书；无上述中标通知书的，以项目法人（建设单位）与监理企业合同成立首次确立的价格认定。</w:t>
            </w:r>
          </w:p>
        </w:tc>
        <w:tc>
          <w:tcPr>
            <w:tcW w:w="2700" w:type="dxa"/>
            <w:tcBorders>
              <w:top w:val="nil"/>
              <w:left w:val="nil"/>
              <w:bottom w:val="single" w:sz="4" w:space="0" w:color="auto"/>
              <w:right w:val="single" w:sz="4" w:space="0" w:color="auto"/>
            </w:tcBorders>
            <w:noWrap/>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1980"/>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500" w:type="dxa"/>
            <w:gridSpan w:val="2"/>
            <w:tcBorders>
              <w:top w:val="single" w:sz="4" w:space="0" w:color="auto"/>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获奖奖项</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本项只计算最近二年内的奖项</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本项加分，最多加</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分；</w:t>
            </w:r>
            <w:r w:rsidRPr="00F96AD2">
              <w:rPr>
                <w:rFonts w:asciiTheme="minorEastAsia" w:eastAsiaTheme="minorEastAsia" w:hAnsiTheme="minorEastAsia"/>
                <w:kern w:val="0"/>
                <w:sz w:val="24"/>
                <w:szCs w:val="24"/>
              </w:rPr>
              <w:br/>
              <w:t>3.</w:t>
            </w:r>
            <w:r w:rsidRPr="00F96AD2">
              <w:rPr>
                <w:rFonts w:asciiTheme="minorEastAsia" w:eastAsiaTheme="minorEastAsia" w:hAnsiTheme="minorEastAsia" w:hint="eastAsia"/>
                <w:kern w:val="0"/>
                <w:sz w:val="24"/>
                <w:szCs w:val="24"/>
              </w:rPr>
              <w:t>本项同一工程多次获奖的，按档次得分最高的分数计算；</w:t>
            </w:r>
            <w:r w:rsidRPr="00F96AD2">
              <w:rPr>
                <w:rFonts w:asciiTheme="minorEastAsia" w:eastAsiaTheme="minorEastAsia" w:hAnsiTheme="minorEastAsia"/>
                <w:kern w:val="0"/>
                <w:sz w:val="24"/>
                <w:szCs w:val="24"/>
              </w:rPr>
              <w:t xml:space="preserve">                                               </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获奖文件、认定或颁奖部门的网页链接</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企业通过系统上传获奖文件、认定或颁奖部门的网页链接申报，市水务行政主管部门查询确认；</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奖项详见</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附件</w:t>
            </w:r>
            <w:r w:rsidRPr="00F96AD2">
              <w:rPr>
                <w:rFonts w:asciiTheme="minorEastAsia" w:eastAsiaTheme="minorEastAsia" w:hAnsiTheme="minorEastAsia"/>
                <w:kern w:val="0"/>
                <w:sz w:val="24"/>
                <w:szCs w:val="24"/>
              </w:rPr>
              <w:t>1-1”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附件</w:t>
            </w:r>
            <w:r w:rsidRPr="00F96AD2">
              <w:rPr>
                <w:rFonts w:asciiTheme="minorEastAsia" w:eastAsiaTheme="minorEastAsia" w:hAnsiTheme="minorEastAsia"/>
                <w:kern w:val="0"/>
                <w:sz w:val="24"/>
                <w:szCs w:val="24"/>
              </w:rPr>
              <w:t>1-2”</w:t>
            </w:r>
            <w:r w:rsidRPr="00F96AD2">
              <w:rPr>
                <w:rFonts w:asciiTheme="minorEastAsia" w:eastAsiaTheme="minorEastAsia" w:hAnsiTheme="minorEastAsia" w:hint="eastAsia"/>
                <w:kern w:val="0"/>
                <w:sz w:val="24"/>
                <w:szCs w:val="24"/>
              </w:rPr>
              <w:t>。</w:t>
            </w:r>
          </w:p>
        </w:tc>
      </w:tr>
      <w:tr w:rsidR="00C0787D" w:rsidRPr="00F96AD2" w:rsidTr="00C72969">
        <w:trPr>
          <w:trHeight w:val="285"/>
        </w:trPr>
        <w:tc>
          <w:tcPr>
            <w:tcW w:w="15660" w:type="dxa"/>
            <w:gridSpan w:val="6"/>
            <w:tcBorders>
              <w:top w:val="single" w:sz="4" w:space="0" w:color="auto"/>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二、扣分部分</w:t>
            </w:r>
          </w:p>
        </w:tc>
      </w:tr>
      <w:tr w:rsidR="00C0787D" w:rsidRPr="00F96AD2" w:rsidTr="00C72969">
        <w:trPr>
          <w:trHeight w:val="315"/>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657" w:type="dxa"/>
            <w:vMerge w:val="restart"/>
            <w:tcBorders>
              <w:top w:val="nil"/>
              <w:left w:val="single" w:sz="4" w:space="0" w:color="auto"/>
              <w:bottom w:val="single" w:sz="4" w:space="0" w:color="auto"/>
              <w:right w:val="single" w:sz="4" w:space="0" w:color="auto"/>
            </w:tcBorders>
            <w:noWrap/>
            <w:textDirection w:val="tbRlV"/>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严重不良行为</w:t>
            </w:r>
          </w:p>
        </w:tc>
        <w:tc>
          <w:tcPr>
            <w:tcW w:w="843"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资质管理</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超越本单位资质等级承揽工程的，诚信评价总分清零，有效期为三年。</w:t>
            </w:r>
          </w:p>
        </w:tc>
        <w:tc>
          <w:tcPr>
            <w:tcW w:w="3020"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有关行政主管部门行政处理或认定的文件</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30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未取得资质证书承揽工程的，诚信评价总分清零，有效期为三年。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以欺骗手段取得资质证书承揽工程的，诚信评价总分清零，有效期为三年。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允许其他单位或者个人以本单位名义承揽工程的，诚信评价总分清零，有效期为三年。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765"/>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涂改、伪造、出借、转让工程监理企业资质证书的，诚信评价总分清零，有效期为三年。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66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8</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申请企业资质时，隐瞒有关真实情况或者提交虚假材料的，诚信评价总分清零，有效期为三年。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9</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招标投标</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以串通、欺诈、胁迫、贿赂等不正当竞争手段承揽监理业务的，诚信评价总分清零，有效期为三年。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13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10</w:t>
            </w:r>
          </w:p>
        </w:tc>
        <w:tc>
          <w:tcPr>
            <w:tcW w:w="657" w:type="dxa"/>
            <w:vMerge w:val="restart"/>
            <w:tcBorders>
              <w:top w:val="nil"/>
              <w:left w:val="single" w:sz="4" w:space="0" w:color="auto"/>
              <w:bottom w:val="single" w:sz="4" w:space="0" w:color="auto"/>
              <w:right w:val="single" w:sz="4" w:space="0" w:color="auto"/>
            </w:tcBorders>
            <w:noWrap/>
            <w:textDirection w:val="tbRlV"/>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严重不良行为</w:t>
            </w:r>
          </w:p>
        </w:tc>
        <w:tc>
          <w:tcPr>
            <w:tcW w:w="843"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招标投标</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出现以下情形的，诚信评价总分清零，有效期为三年。相互串通投标（包括但不限于：</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投标人之间协商投标报价等投标文件的实质性内容；</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投标人之间约定中标人；</w:t>
            </w:r>
            <w:r w:rsidRPr="00F96AD2">
              <w:rPr>
                <w:rFonts w:asciiTheme="minorEastAsia" w:eastAsiaTheme="minorEastAsia" w:hAnsiTheme="minorEastAsia"/>
                <w:kern w:val="0"/>
                <w:sz w:val="24"/>
                <w:szCs w:val="24"/>
              </w:rPr>
              <w:t>3.</w:t>
            </w:r>
            <w:r w:rsidRPr="00F96AD2">
              <w:rPr>
                <w:rFonts w:asciiTheme="minorEastAsia" w:eastAsiaTheme="minorEastAsia" w:hAnsiTheme="minorEastAsia" w:hint="eastAsia"/>
                <w:kern w:val="0"/>
                <w:sz w:val="24"/>
                <w:szCs w:val="24"/>
              </w:rPr>
              <w:t>投标人之间约定部分投标人放弃投标或者中标；</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属于同一集团、协会、商会等组织成员的投标人按照该组织要求协同投标；</w:t>
            </w:r>
            <w:r w:rsidRPr="00F96AD2">
              <w:rPr>
                <w:rFonts w:asciiTheme="minorEastAsia" w:eastAsiaTheme="minorEastAsia" w:hAnsiTheme="minorEastAsia"/>
                <w:kern w:val="0"/>
                <w:sz w:val="24"/>
                <w:szCs w:val="24"/>
              </w:rPr>
              <w:t>5.</w:t>
            </w:r>
            <w:r w:rsidRPr="00F96AD2">
              <w:rPr>
                <w:rFonts w:asciiTheme="minorEastAsia" w:eastAsiaTheme="minorEastAsia" w:hAnsiTheme="minorEastAsia" w:hint="eastAsia"/>
                <w:kern w:val="0"/>
                <w:sz w:val="24"/>
                <w:szCs w:val="24"/>
              </w:rPr>
              <w:t>投标人之间为谋取中标或者排斥特定投标人而采取的其他联合行动；</w:t>
            </w:r>
            <w:r w:rsidRPr="00F96AD2">
              <w:rPr>
                <w:rFonts w:asciiTheme="minorEastAsia" w:eastAsiaTheme="minorEastAsia" w:hAnsiTheme="minorEastAsia"/>
                <w:kern w:val="0"/>
                <w:sz w:val="24"/>
                <w:szCs w:val="24"/>
              </w:rPr>
              <w:t>6.</w:t>
            </w:r>
            <w:r w:rsidRPr="00F96AD2">
              <w:rPr>
                <w:rFonts w:asciiTheme="minorEastAsia" w:eastAsiaTheme="minorEastAsia" w:hAnsiTheme="minorEastAsia" w:hint="eastAsia"/>
                <w:kern w:val="0"/>
                <w:sz w:val="24"/>
                <w:szCs w:val="24"/>
              </w:rPr>
              <w:t>不同投标人的投标文件由同一单位或者个人编制；</w:t>
            </w:r>
            <w:r w:rsidRPr="00F96AD2">
              <w:rPr>
                <w:rFonts w:asciiTheme="minorEastAsia" w:eastAsiaTheme="minorEastAsia" w:hAnsiTheme="minorEastAsia"/>
                <w:kern w:val="0"/>
                <w:sz w:val="24"/>
                <w:szCs w:val="24"/>
              </w:rPr>
              <w:t>7.</w:t>
            </w:r>
            <w:r w:rsidRPr="00F96AD2">
              <w:rPr>
                <w:rFonts w:asciiTheme="minorEastAsia" w:eastAsiaTheme="minorEastAsia" w:hAnsiTheme="minorEastAsia" w:hint="eastAsia"/>
                <w:kern w:val="0"/>
                <w:sz w:val="24"/>
                <w:szCs w:val="24"/>
              </w:rPr>
              <w:t>不同投标人委托同一单位或者个人办理投标事宜；</w:t>
            </w:r>
            <w:r w:rsidRPr="00F96AD2">
              <w:rPr>
                <w:rFonts w:asciiTheme="minorEastAsia" w:eastAsiaTheme="minorEastAsia" w:hAnsiTheme="minorEastAsia"/>
                <w:kern w:val="0"/>
                <w:sz w:val="24"/>
                <w:szCs w:val="24"/>
              </w:rPr>
              <w:t>8.</w:t>
            </w:r>
            <w:r w:rsidRPr="00F96AD2">
              <w:rPr>
                <w:rFonts w:asciiTheme="minorEastAsia" w:eastAsiaTheme="minorEastAsia" w:hAnsiTheme="minorEastAsia" w:hint="eastAsia"/>
                <w:kern w:val="0"/>
                <w:sz w:val="24"/>
                <w:szCs w:val="24"/>
              </w:rPr>
              <w:t>不同投标人的投标文件载明的项目管理成员为同一人；</w:t>
            </w:r>
            <w:r w:rsidRPr="00F96AD2">
              <w:rPr>
                <w:rFonts w:asciiTheme="minorEastAsia" w:eastAsiaTheme="minorEastAsia" w:hAnsiTheme="minorEastAsia"/>
                <w:kern w:val="0"/>
                <w:sz w:val="24"/>
                <w:szCs w:val="24"/>
              </w:rPr>
              <w:t>9.</w:t>
            </w:r>
            <w:r w:rsidRPr="00F96AD2">
              <w:rPr>
                <w:rFonts w:asciiTheme="minorEastAsia" w:eastAsiaTheme="minorEastAsia" w:hAnsiTheme="minorEastAsia" w:hint="eastAsia"/>
                <w:kern w:val="0"/>
                <w:sz w:val="24"/>
                <w:szCs w:val="24"/>
              </w:rPr>
              <w:t>不同投标人的投标文件异常一致或者投标报价呈规律性差异；</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不同投标人的投标文件相互混装；</w:t>
            </w:r>
            <w:r w:rsidRPr="00F96AD2">
              <w:rPr>
                <w:rFonts w:asciiTheme="minorEastAsia" w:eastAsiaTheme="minorEastAsia" w:hAnsiTheme="minorEastAsia"/>
                <w:kern w:val="0"/>
                <w:sz w:val="24"/>
                <w:szCs w:val="24"/>
              </w:rPr>
              <w:t>11.</w:t>
            </w:r>
            <w:r w:rsidRPr="00F96AD2">
              <w:rPr>
                <w:rFonts w:asciiTheme="minorEastAsia" w:eastAsiaTheme="minorEastAsia" w:hAnsiTheme="minorEastAsia" w:hint="eastAsia"/>
                <w:kern w:val="0"/>
                <w:sz w:val="24"/>
                <w:szCs w:val="24"/>
              </w:rPr>
              <w:t>不同投标人的投标保证金从同一单位或者个人的账户转出；不同投标人编制的投标文件的实质性内容存在两处以上细节错误一致；</w:t>
            </w:r>
            <w:r w:rsidRPr="00F96AD2">
              <w:rPr>
                <w:rFonts w:asciiTheme="minorEastAsia" w:eastAsiaTheme="minorEastAsia" w:hAnsiTheme="minorEastAsia"/>
                <w:kern w:val="0"/>
                <w:sz w:val="24"/>
                <w:szCs w:val="24"/>
              </w:rPr>
              <w:t>12.</w:t>
            </w:r>
            <w:r w:rsidRPr="00F96AD2">
              <w:rPr>
                <w:rFonts w:asciiTheme="minorEastAsia" w:eastAsiaTheme="minorEastAsia" w:hAnsiTheme="minorEastAsia" w:hint="eastAsia"/>
                <w:kern w:val="0"/>
                <w:sz w:val="24"/>
                <w:szCs w:val="24"/>
              </w:rPr>
              <w:t>不同投标人的投标文件由同一电子设备编制、打包加密或者上传，不同投标人的投标文件由同一投标人的电子设备打印、复印；</w:t>
            </w:r>
            <w:r w:rsidRPr="00F96AD2">
              <w:rPr>
                <w:rFonts w:asciiTheme="minorEastAsia" w:eastAsiaTheme="minorEastAsia" w:hAnsiTheme="minorEastAsia"/>
                <w:kern w:val="0"/>
                <w:sz w:val="24"/>
                <w:szCs w:val="24"/>
              </w:rPr>
              <w:t>13.</w:t>
            </w:r>
            <w:r w:rsidRPr="00F96AD2">
              <w:rPr>
                <w:rFonts w:asciiTheme="minorEastAsia" w:eastAsiaTheme="minorEastAsia" w:hAnsiTheme="minorEastAsia" w:hint="eastAsia"/>
                <w:kern w:val="0"/>
                <w:sz w:val="24"/>
                <w:szCs w:val="24"/>
              </w:rPr>
              <w:t>不同投标人的投标文件由同一投标人送达或者分发；</w:t>
            </w:r>
            <w:r w:rsidRPr="00F96AD2">
              <w:rPr>
                <w:rFonts w:asciiTheme="minorEastAsia" w:eastAsiaTheme="minorEastAsia" w:hAnsiTheme="minorEastAsia"/>
                <w:kern w:val="0"/>
                <w:sz w:val="24"/>
                <w:szCs w:val="24"/>
              </w:rPr>
              <w:t>14.</w:t>
            </w:r>
            <w:r w:rsidRPr="00F96AD2">
              <w:rPr>
                <w:rFonts w:asciiTheme="minorEastAsia" w:eastAsiaTheme="minorEastAsia" w:hAnsiTheme="minorEastAsia" w:hint="eastAsia"/>
                <w:kern w:val="0"/>
                <w:sz w:val="24"/>
                <w:szCs w:val="24"/>
              </w:rPr>
              <w:t>参加投标活动的人员为同一标段其他投标人的在职人员；</w:t>
            </w:r>
            <w:r w:rsidRPr="00F96AD2">
              <w:rPr>
                <w:rFonts w:asciiTheme="minorEastAsia" w:eastAsiaTheme="minorEastAsia" w:hAnsiTheme="minorEastAsia"/>
                <w:kern w:val="0"/>
                <w:sz w:val="24"/>
                <w:szCs w:val="24"/>
              </w:rPr>
              <w:t>15.</w:t>
            </w:r>
            <w:r w:rsidRPr="00F96AD2">
              <w:rPr>
                <w:rFonts w:asciiTheme="minorEastAsia" w:eastAsiaTheme="minorEastAsia" w:hAnsiTheme="minorEastAsia" w:hint="eastAsia"/>
                <w:kern w:val="0"/>
                <w:sz w:val="24"/>
                <w:szCs w:val="24"/>
              </w:rPr>
              <w:t>不同投标人的投标保证金从投标人各自的基本账户转出，但是，所需资金来自同一单位或者个人账户。）；以向招标人或者评标委员会成员行贿等不正当手段谋取中标。</w:t>
            </w:r>
          </w:p>
        </w:tc>
        <w:tc>
          <w:tcPr>
            <w:tcW w:w="3020"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有关行政主管部门行政处理或认定的文件</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180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11</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投标人以他人名义投标或者以其他方式弄虚作假，骗取中标的（包括但不限于：</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使用伪造、变造的许可证件；</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提供虚假的财务状况或者业绩；</w:t>
            </w:r>
            <w:r w:rsidRPr="00F96AD2">
              <w:rPr>
                <w:rFonts w:asciiTheme="minorEastAsia" w:eastAsiaTheme="minorEastAsia" w:hAnsiTheme="minorEastAsia"/>
                <w:kern w:val="0"/>
                <w:sz w:val="24"/>
                <w:szCs w:val="24"/>
              </w:rPr>
              <w:t>3.</w:t>
            </w:r>
            <w:r w:rsidRPr="00F96AD2">
              <w:rPr>
                <w:rFonts w:asciiTheme="minorEastAsia" w:eastAsiaTheme="minorEastAsia" w:hAnsiTheme="minorEastAsia" w:hint="eastAsia"/>
                <w:kern w:val="0"/>
                <w:sz w:val="24"/>
                <w:szCs w:val="24"/>
              </w:rPr>
              <w:t>提供虚假的项目负责人或者主要技术人员简历、劳动关系证明；</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提供虚假的信用状况；</w:t>
            </w:r>
            <w:r w:rsidRPr="00F96AD2">
              <w:rPr>
                <w:rFonts w:asciiTheme="minorEastAsia" w:eastAsiaTheme="minorEastAsia" w:hAnsiTheme="minorEastAsia"/>
                <w:kern w:val="0"/>
                <w:sz w:val="24"/>
                <w:szCs w:val="24"/>
              </w:rPr>
              <w:t>5.</w:t>
            </w:r>
            <w:r w:rsidRPr="00F96AD2">
              <w:rPr>
                <w:rFonts w:asciiTheme="minorEastAsia" w:eastAsiaTheme="minorEastAsia" w:hAnsiTheme="minorEastAsia" w:hint="eastAsia"/>
                <w:kern w:val="0"/>
                <w:sz w:val="24"/>
                <w:szCs w:val="24"/>
              </w:rPr>
              <w:t>使用通过受让或者租借等方式获取的资格、资质证书投标；</w:t>
            </w:r>
            <w:r w:rsidRPr="00F96AD2">
              <w:rPr>
                <w:rFonts w:asciiTheme="minorEastAsia" w:eastAsiaTheme="minorEastAsia" w:hAnsiTheme="minorEastAsia"/>
                <w:kern w:val="0"/>
                <w:sz w:val="24"/>
                <w:szCs w:val="24"/>
              </w:rPr>
              <w:t>6.</w:t>
            </w:r>
            <w:r w:rsidRPr="00F96AD2">
              <w:rPr>
                <w:rFonts w:asciiTheme="minorEastAsia" w:eastAsiaTheme="minorEastAsia" w:hAnsiTheme="minorEastAsia" w:hint="eastAsia"/>
                <w:kern w:val="0"/>
                <w:sz w:val="24"/>
                <w:szCs w:val="24"/>
              </w:rPr>
              <w:t>其他弄虚作假的行为），诚信评价总分清零，有效期为三年。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705"/>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12</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捏造或者虚构事项投诉干扰招标工作正常进行的，诚信评价总分清零，有效期为三年。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1575"/>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13</w:t>
            </w:r>
          </w:p>
        </w:tc>
        <w:tc>
          <w:tcPr>
            <w:tcW w:w="657" w:type="dxa"/>
            <w:vMerge w:val="restart"/>
            <w:tcBorders>
              <w:top w:val="nil"/>
              <w:left w:val="single" w:sz="4" w:space="0" w:color="auto"/>
              <w:bottom w:val="single" w:sz="4" w:space="0" w:color="auto"/>
              <w:right w:val="single" w:sz="4" w:space="0" w:color="auto"/>
            </w:tcBorders>
            <w:noWrap/>
            <w:textDirection w:val="tbRlV"/>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严重不良行为</w:t>
            </w:r>
          </w:p>
        </w:tc>
        <w:tc>
          <w:tcPr>
            <w:tcW w:w="843"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转包或违法分包</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出现以下情形的，诚信评价总分清零，有效期为三年。中标人将中标项目转让给他人的，将中标项目肢解后分别转让给他人的，违反本法规定将中标项目的部分主体、关键性工作分包给他人的，或者分包人再次分包</w:t>
            </w:r>
          </w:p>
        </w:tc>
        <w:tc>
          <w:tcPr>
            <w:tcW w:w="3020"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有关行政主管部门行政处理或认定的文件</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14</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质量或安全生产事故</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发生重大及以上工程质量安全事故的，诚信评价总分清零，有效期为三年。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7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年内累计发生</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次及以上较大工程质量安全事故的，诚信评价总分清零，有效期为三年。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16</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发生性质恶劣、危害性严重、社会影响大的较大工程质量安全事故，受到行政处罚的，诚信评价总分清零，有效期为三年。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17</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其它</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拖欠工人工资引发群体性事件或造成人员死亡等其他恶劣社会影响的，诚信评价总分清零，有效期为三年。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7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18</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被人力资源社会保障主管部门列入拖欠农民工工资</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黑名单</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7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19</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经法院判决或仲裁机构裁决，认定为拖欠工程款</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且拒不履行生效法律文书确定的义务的，诚信评价总分清零，有效期为三年。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20</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隐瞒有关情况、拒绝提供材料或者提供虚假材料的，诚信评价总分清零，有效期为三年。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8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21</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在</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广州市水务工程企业信息库及诚信管理</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系统录入的信息或向有关行政部门、专业部门提供的信息存在故意隐瞒真实情况、弄虚作假情况的，诚信评价总分清零，有效期为三年。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81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22</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3"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有行贿、受贿违法记录的，诚信评价总分清零，有效期为三年。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有关纪委监委、检察部、法院和行政主管部门行政处理或认定的文件</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23</w:t>
            </w:r>
          </w:p>
        </w:tc>
        <w:tc>
          <w:tcPr>
            <w:tcW w:w="657" w:type="dxa"/>
            <w:vMerge/>
            <w:tcBorders>
              <w:top w:val="nil"/>
              <w:left w:val="single" w:sz="4" w:space="0" w:color="auto"/>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p>
        </w:tc>
        <w:tc>
          <w:tcPr>
            <w:tcW w:w="8463" w:type="dxa"/>
            <w:gridSpan w:val="2"/>
            <w:tcBorders>
              <w:top w:val="single" w:sz="4" w:space="0" w:color="auto"/>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其它符合本办法第十四条严重不良行为的，诚信评价总分清零，有效期为三年。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有关部门行政处理或认定的文件</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4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24</w:t>
            </w:r>
          </w:p>
        </w:tc>
        <w:tc>
          <w:tcPr>
            <w:tcW w:w="1500" w:type="dxa"/>
            <w:gridSpan w:val="2"/>
            <w:tcBorders>
              <w:top w:val="single" w:sz="4" w:space="0" w:color="auto"/>
              <w:left w:val="nil"/>
              <w:bottom w:val="single" w:sz="4" w:space="0" w:color="auto"/>
              <w:right w:val="single" w:sz="4" w:space="0" w:color="auto"/>
            </w:tcBorders>
            <w:noWrap/>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招投标监督</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投标人不配合或者拒绝协助有关行政监督部门监督、检查、调查取证的。每发生一次扣</w:t>
            </w:r>
            <w:r w:rsidRPr="00F96AD2">
              <w:rPr>
                <w:rFonts w:asciiTheme="minorEastAsia" w:eastAsiaTheme="minorEastAsia" w:hAnsiTheme="minorEastAsia"/>
                <w:kern w:val="0"/>
                <w:sz w:val="24"/>
                <w:szCs w:val="24"/>
              </w:rPr>
              <w:t>15</w:t>
            </w:r>
            <w:r w:rsidRPr="00F96AD2">
              <w:rPr>
                <w:rFonts w:asciiTheme="minorEastAsia" w:eastAsiaTheme="minorEastAsia" w:hAnsiTheme="minorEastAsia" w:hint="eastAsia"/>
                <w:kern w:val="0"/>
                <w:sz w:val="24"/>
                <w:szCs w:val="24"/>
              </w:rPr>
              <w:t>分，扣分有效期为二年。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行政监督部门认定。</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57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25</w:t>
            </w:r>
          </w:p>
        </w:tc>
        <w:tc>
          <w:tcPr>
            <w:tcW w:w="1500" w:type="dxa"/>
            <w:gridSpan w:val="2"/>
            <w:tcBorders>
              <w:top w:val="single" w:sz="4" w:space="0" w:color="auto"/>
              <w:left w:val="nil"/>
              <w:bottom w:val="single" w:sz="4" w:space="0" w:color="auto"/>
              <w:right w:val="single" w:sz="4" w:space="0" w:color="auto"/>
            </w:tcBorders>
            <w:noWrap/>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放弃中标资格</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投标人因自身原因放弃中标人或中标候选人资格。每发生一次扣</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分，扣分有效期为一年。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招标人提供相关证明材料（盖章）确认。</w:t>
            </w:r>
          </w:p>
        </w:tc>
        <w:tc>
          <w:tcPr>
            <w:tcW w:w="2700" w:type="dxa"/>
            <w:tcBorders>
              <w:top w:val="nil"/>
              <w:left w:val="nil"/>
              <w:bottom w:val="single" w:sz="4" w:space="0" w:color="auto"/>
              <w:right w:val="single" w:sz="4" w:space="0" w:color="auto"/>
            </w:tcBorders>
            <w:noWrap/>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111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26</w:t>
            </w:r>
          </w:p>
        </w:tc>
        <w:tc>
          <w:tcPr>
            <w:tcW w:w="1500" w:type="dxa"/>
            <w:gridSpan w:val="2"/>
            <w:tcBorders>
              <w:top w:val="single" w:sz="4" w:space="0" w:color="auto"/>
              <w:left w:val="nil"/>
              <w:bottom w:val="single" w:sz="4" w:space="0" w:color="auto"/>
              <w:right w:val="single" w:sz="4" w:space="0" w:color="auto"/>
            </w:tcBorders>
            <w:noWrap/>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招投标活动</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本表上述规定以外，在审计、稽查、市级以上有关部门检查中发现招投标方面存在问题的，或者在招投标活动中因违法被司法机关追究行政刑事责任的，或者在招投标活动中因违法违规被有关行政监督机关处理的。每发生一次扣</w:t>
            </w:r>
            <w:r w:rsidRPr="00F96AD2">
              <w:rPr>
                <w:rFonts w:asciiTheme="minorEastAsia" w:eastAsiaTheme="minorEastAsia" w:hAnsiTheme="minorEastAsia"/>
                <w:kern w:val="0"/>
                <w:sz w:val="24"/>
                <w:szCs w:val="24"/>
              </w:rPr>
              <w:t>15</w:t>
            </w:r>
            <w:r w:rsidRPr="00F96AD2">
              <w:rPr>
                <w:rFonts w:asciiTheme="minorEastAsia" w:eastAsiaTheme="minorEastAsia" w:hAnsiTheme="minorEastAsia" w:hint="eastAsia"/>
                <w:kern w:val="0"/>
                <w:sz w:val="24"/>
                <w:szCs w:val="24"/>
              </w:rPr>
              <w:t>分，扣分有效期为二年。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上述单位的书面报告。</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87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27</w:t>
            </w:r>
          </w:p>
        </w:tc>
        <w:tc>
          <w:tcPr>
            <w:tcW w:w="150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C72969">
            <w:pPr>
              <w:widowControl/>
              <w:spacing w:line="32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质量事故</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工程建设发生一般质量事故的，每发生一次扣责任单位</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分；发生较大质量事故的，每发生一次扣责任单位</w:t>
            </w:r>
            <w:r w:rsidRPr="00F96AD2">
              <w:rPr>
                <w:rFonts w:asciiTheme="minorEastAsia" w:eastAsiaTheme="minorEastAsia" w:hAnsiTheme="minorEastAsia"/>
                <w:kern w:val="0"/>
                <w:sz w:val="24"/>
                <w:szCs w:val="24"/>
              </w:rPr>
              <w:t>30</w:t>
            </w:r>
            <w:r w:rsidRPr="00F96AD2">
              <w:rPr>
                <w:rFonts w:asciiTheme="minorEastAsia" w:eastAsiaTheme="minorEastAsia" w:hAnsiTheme="minorEastAsia" w:hint="eastAsia"/>
                <w:kern w:val="0"/>
                <w:sz w:val="24"/>
                <w:szCs w:val="24"/>
              </w:rPr>
              <w:t>分。本项扣分有效期二年。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相关行政主管部门的书面调查报告或行政处罚决定书。</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87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28</w:t>
            </w:r>
          </w:p>
        </w:tc>
        <w:tc>
          <w:tcPr>
            <w:tcW w:w="150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C72969">
            <w:pPr>
              <w:widowControl/>
              <w:spacing w:line="32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安全生产事故</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工程建设发生一般安全生产事故的，每发生一次扣责任单位</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分；发生较大安全生产事故的，每发生一次扣责任单位</w:t>
            </w:r>
            <w:r w:rsidRPr="00F96AD2">
              <w:rPr>
                <w:rFonts w:asciiTheme="minorEastAsia" w:eastAsiaTheme="minorEastAsia" w:hAnsiTheme="minorEastAsia"/>
                <w:kern w:val="0"/>
                <w:sz w:val="24"/>
                <w:szCs w:val="24"/>
              </w:rPr>
              <w:t>30</w:t>
            </w:r>
            <w:r w:rsidRPr="00F96AD2">
              <w:rPr>
                <w:rFonts w:asciiTheme="minorEastAsia" w:eastAsiaTheme="minorEastAsia" w:hAnsiTheme="minorEastAsia" w:hint="eastAsia"/>
                <w:kern w:val="0"/>
                <w:sz w:val="24"/>
                <w:szCs w:val="24"/>
              </w:rPr>
              <w:t>分。本项扣分有效期二年。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相关行政主管部门的书面调查报告或行政处罚决定书。</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825"/>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29</w:t>
            </w:r>
          </w:p>
        </w:tc>
        <w:tc>
          <w:tcPr>
            <w:tcW w:w="1500" w:type="dxa"/>
            <w:gridSpan w:val="2"/>
            <w:tcBorders>
              <w:top w:val="single" w:sz="4" w:space="0" w:color="auto"/>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通报批评</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企业受区水务部门通报批评</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次扣</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分；受广州市水务局通报批评</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次扣</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分；受广州市人民政府通报批评</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次扣</w:t>
            </w:r>
            <w:r w:rsidRPr="00F96AD2">
              <w:rPr>
                <w:rFonts w:asciiTheme="minorEastAsia" w:eastAsiaTheme="minorEastAsia" w:hAnsiTheme="minorEastAsia"/>
                <w:kern w:val="0"/>
                <w:sz w:val="24"/>
                <w:szCs w:val="24"/>
              </w:rPr>
              <w:t>8</w:t>
            </w:r>
            <w:r w:rsidRPr="00F96AD2">
              <w:rPr>
                <w:rFonts w:asciiTheme="minorEastAsia" w:eastAsiaTheme="minorEastAsia" w:hAnsiTheme="minorEastAsia" w:hint="eastAsia"/>
                <w:kern w:val="0"/>
                <w:sz w:val="24"/>
                <w:szCs w:val="24"/>
              </w:rPr>
              <w:t>分，扣分有效期半年。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上述单位的书面报告。</w:t>
            </w:r>
          </w:p>
        </w:tc>
        <w:tc>
          <w:tcPr>
            <w:tcW w:w="270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C72969">
        <w:trPr>
          <w:trHeight w:val="600"/>
        </w:trPr>
        <w:tc>
          <w:tcPr>
            <w:tcW w:w="820" w:type="dxa"/>
            <w:tcBorders>
              <w:top w:val="nil"/>
              <w:left w:val="single" w:sz="4" w:space="0" w:color="auto"/>
              <w:bottom w:val="single" w:sz="4" w:space="0" w:color="auto"/>
              <w:right w:val="single" w:sz="4" w:space="0" w:color="auto"/>
            </w:tcBorders>
            <w:noWrap/>
            <w:vAlign w:val="center"/>
          </w:tcPr>
          <w:p w:rsidR="00C0787D" w:rsidRPr="00F96AD2" w:rsidRDefault="00C0787D" w:rsidP="00C72969">
            <w:pPr>
              <w:widowControl/>
              <w:spacing w:line="32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30</w:t>
            </w:r>
          </w:p>
        </w:tc>
        <w:tc>
          <w:tcPr>
            <w:tcW w:w="1500" w:type="dxa"/>
            <w:gridSpan w:val="2"/>
            <w:tcBorders>
              <w:top w:val="single" w:sz="4" w:space="0" w:color="auto"/>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投诉</w:t>
            </w:r>
          </w:p>
        </w:tc>
        <w:tc>
          <w:tcPr>
            <w:tcW w:w="76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对本表上述评价进行投诉，但投诉情况不实且不属于本评价标准第</w:t>
            </w:r>
            <w:r w:rsidRPr="00F96AD2">
              <w:rPr>
                <w:rFonts w:asciiTheme="minorEastAsia" w:eastAsiaTheme="minorEastAsia" w:hAnsiTheme="minorEastAsia"/>
                <w:kern w:val="0"/>
                <w:sz w:val="24"/>
                <w:szCs w:val="24"/>
              </w:rPr>
              <w:t>21</w:t>
            </w:r>
            <w:r w:rsidRPr="00F96AD2">
              <w:rPr>
                <w:rFonts w:asciiTheme="minorEastAsia" w:eastAsiaTheme="minorEastAsia" w:hAnsiTheme="minorEastAsia" w:hint="eastAsia"/>
                <w:kern w:val="0"/>
                <w:sz w:val="24"/>
                <w:szCs w:val="24"/>
              </w:rPr>
              <w:t>项规定情形的，每发生一次扣</w:t>
            </w:r>
            <w:r w:rsidRPr="00F96AD2">
              <w:rPr>
                <w:rFonts w:asciiTheme="minorEastAsia" w:eastAsiaTheme="minorEastAsia" w:hAnsiTheme="minorEastAsia"/>
                <w:kern w:val="0"/>
                <w:sz w:val="24"/>
                <w:szCs w:val="24"/>
              </w:rPr>
              <w:t>5</w:t>
            </w:r>
            <w:r w:rsidRPr="00F96AD2">
              <w:rPr>
                <w:rFonts w:asciiTheme="minorEastAsia" w:eastAsiaTheme="minorEastAsia" w:hAnsiTheme="minorEastAsia" w:hint="eastAsia"/>
                <w:kern w:val="0"/>
                <w:sz w:val="24"/>
                <w:szCs w:val="24"/>
              </w:rPr>
              <w:t>分。扣分有效期一年。</w:t>
            </w:r>
          </w:p>
        </w:tc>
        <w:tc>
          <w:tcPr>
            <w:tcW w:w="3020" w:type="dxa"/>
            <w:tcBorders>
              <w:top w:val="nil"/>
              <w:left w:val="nil"/>
              <w:bottom w:val="single" w:sz="4" w:space="0" w:color="auto"/>
              <w:right w:val="single" w:sz="4" w:space="0" w:color="auto"/>
            </w:tcBorders>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市水务局、区水务局调查认定</w:t>
            </w:r>
          </w:p>
        </w:tc>
        <w:tc>
          <w:tcPr>
            <w:tcW w:w="2700" w:type="dxa"/>
            <w:tcBorders>
              <w:top w:val="nil"/>
              <w:left w:val="nil"/>
              <w:bottom w:val="single" w:sz="4" w:space="0" w:color="auto"/>
              <w:right w:val="single" w:sz="4" w:space="0" w:color="auto"/>
            </w:tcBorders>
            <w:noWrap/>
            <w:vAlign w:val="center"/>
          </w:tcPr>
          <w:p w:rsidR="00C0787D" w:rsidRPr="00F96AD2" w:rsidRDefault="00C0787D" w:rsidP="00C72969">
            <w:pPr>
              <w:widowControl/>
              <w:spacing w:line="32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bl>
    <w:p w:rsidR="00C0787D" w:rsidRPr="00F96AD2" w:rsidRDefault="00C72969" w:rsidP="00C72969">
      <w:pPr>
        <w:widowControl/>
        <w:spacing w:line="320" w:lineRule="exact"/>
        <w:jc w:val="left"/>
        <w:rPr>
          <w:rFonts w:asciiTheme="minorEastAsia" w:eastAsiaTheme="minorEastAsia" w:hAnsiTheme="minorEastAsia"/>
          <w:b/>
          <w:kern w:val="0"/>
          <w:sz w:val="24"/>
          <w:szCs w:val="24"/>
          <w:shd w:val="clear" w:color="auto" w:fill="FFFFFF"/>
        </w:rPr>
      </w:pPr>
      <w:r w:rsidRPr="00F96AD2">
        <w:rPr>
          <w:rFonts w:asciiTheme="minorEastAsia" w:eastAsiaTheme="minorEastAsia" w:hAnsiTheme="minorEastAsia" w:cs="宋体" w:hint="eastAsia"/>
          <w:kern w:val="0"/>
          <w:sz w:val="24"/>
          <w:szCs w:val="24"/>
        </w:rPr>
        <w:t>说明：</w:t>
      </w:r>
      <w:r w:rsidRPr="00F96AD2">
        <w:rPr>
          <w:rFonts w:asciiTheme="minorEastAsia" w:eastAsiaTheme="minorEastAsia" w:hAnsiTheme="minorEastAsia"/>
          <w:kern w:val="0"/>
          <w:sz w:val="24"/>
          <w:szCs w:val="24"/>
        </w:rPr>
        <w:t>1.</w:t>
      </w:r>
      <w:r w:rsidRPr="00F96AD2">
        <w:rPr>
          <w:rFonts w:asciiTheme="minorEastAsia" w:eastAsiaTheme="minorEastAsia" w:hAnsiTheme="minorEastAsia" w:cs="宋体" w:hint="eastAsia"/>
          <w:kern w:val="0"/>
          <w:sz w:val="24"/>
          <w:szCs w:val="24"/>
        </w:rPr>
        <w:t>本表除涉及</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诚信评价总分清零</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的款项，其加分部分、扣分部分均指市场行为评价得分。</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2.</w:t>
      </w:r>
      <w:r w:rsidRPr="00F96AD2">
        <w:rPr>
          <w:rFonts w:asciiTheme="minorEastAsia" w:eastAsiaTheme="minorEastAsia" w:hAnsiTheme="minorEastAsia" w:cs="宋体" w:hint="eastAsia"/>
          <w:kern w:val="0"/>
          <w:sz w:val="24"/>
          <w:szCs w:val="24"/>
        </w:rPr>
        <w:t>本表</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扣分部分</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评价项目</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包括广州市为受益市的水务工程中存在的情形或行为。</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3.</w:t>
      </w:r>
      <w:r w:rsidRPr="00F96AD2">
        <w:rPr>
          <w:rFonts w:asciiTheme="minorEastAsia" w:eastAsiaTheme="minorEastAsia" w:hAnsiTheme="minorEastAsia" w:cs="宋体" w:hint="eastAsia"/>
          <w:kern w:val="0"/>
          <w:sz w:val="24"/>
          <w:szCs w:val="24"/>
        </w:rPr>
        <w:t>除涉及</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诚信评价总分清零</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外的款项，任一监理企业市场行为评价标准基准分为</w:t>
      </w:r>
      <w:r w:rsidRPr="00F96AD2">
        <w:rPr>
          <w:rFonts w:asciiTheme="minorEastAsia" w:eastAsiaTheme="minorEastAsia" w:hAnsiTheme="minorEastAsia"/>
          <w:kern w:val="0"/>
          <w:sz w:val="24"/>
          <w:szCs w:val="24"/>
        </w:rPr>
        <w:t>100</w:t>
      </w:r>
      <w:r w:rsidRPr="00F96AD2">
        <w:rPr>
          <w:rFonts w:asciiTheme="minorEastAsia" w:eastAsiaTheme="minorEastAsia" w:hAnsiTheme="minorEastAsia" w:cs="宋体" w:hint="eastAsia"/>
          <w:kern w:val="0"/>
          <w:sz w:val="24"/>
          <w:szCs w:val="24"/>
        </w:rPr>
        <w:t>分，按上表规定标准对其市场行为进行加减分，算出评价得分（</w:t>
      </w:r>
      <w:r w:rsidRPr="00F96AD2">
        <w:rPr>
          <w:rFonts w:asciiTheme="minorEastAsia" w:eastAsiaTheme="minorEastAsia" w:hAnsiTheme="minorEastAsia"/>
          <w:kern w:val="0"/>
          <w:sz w:val="24"/>
          <w:szCs w:val="24"/>
        </w:rPr>
        <w:t>A</w:t>
      </w:r>
      <w:r w:rsidRPr="00F96AD2">
        <w:rPr>
          <w:rFonts w:asciiTheme="minorEastAsia" w:eastAsiaTheme="minorEastAsia" w:hAnsiTheme="minorEastAsia" w:cs="宋体" w:hint="eastAsia"/>
          <w:kern w:val="0"/>
          <w:sz w:val="24"/>
          <w:szCs w:val="24"/>
        </w:rPr>
        <w:t>）</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按下式折算为百分制得分（</w:t>
      </w:r>
      <w:r w:rsidRPr="00F96AD2">
        <w:rPr>
          <w:rFonts w:asciiTheme="minorEastAsia" w:eastAsiaTheme="minorEastAsia" w:hAnsiTheme="minorEastAsia"/>
          <w:kern w:val="0"/>
          <w:sz w:val="24"/>
          <w:szCs w:val="24"/>
        </w:rPr>
        <w:t>B</w:t>
      </w:r>
      <w:r w:rsidRPr="00F96AD2">
        <w:rPr>
          <w:rFonts w:asciiTheme="minorEastAsia" w:eastAsiaTheme="minorEastAsia" w:hAnsiTheme="minorEastAsia" w:cs="宋体" w:hint="eastAsia"/>
          <w:kern w:val="0"/>
          <w:sz w:val="24"/>
          <w:szCs w:val="24"/>
        </w:rPr>
        <w:t>）：</w:t>
      </w:r>
      <w:r w:rsidRPr="00F96AD2">
        <w:rPr>
          <w:rFonts w:asciiTheme="minorEastAsia" w:eastAsiaTheme="minorEastAsia" w:hAnsiTheme="minorEastAsia"/>
          <w:kern w:val="0"/>
          <w:sz w:val="24"/>
          <w:szCs w:val="24"/>
        </w:rPr>
        <w:t>B=A×100/130</w:t>
      </w:r>
      <w:r w:rsidRPr="00F96AD2">
        <w:rPr>
          <w:rFonts w:asciiTheme="minorEastAsia" w:eastAsiaTheme="minorEastAsia" w:hAnsiTheme="minorEastAsia" w:cs="宋体" w:hint="eastAsia"/>
          <w:kern w:val="0"/>
          <w:sz w:val="24"/>
          <w:szCs w:val="24"/>
        </w:rPr>
        <w:t>。</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4.</w:t>
      </w:r>
      <w:r w:rsidRPr="00F96AD2">
        <w:rPr>
          <w:rFonts w:asciiTheme="minorEastAsia" w:eastAsiaTheme="minorEastAsia" w:hAnsiTheme="minorEastAsia" w:cs="宋体" w:hint="eastAsia"/>
          <w:kern w:val="0"/>
          <w:sz w:val="24"/>
          <w:szCs w:val="24"/>
        </w:rPr>
        <w:t>加分部分：由市水务局负责评价；扣分部分：市水务局直属工程及市水投集团组织实施的工程由市水务局负责评价；区水务局组织实施的工程由区水务局负责评价。</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5.</w:t>
      </w:r>
      <w:r w:rsidRPr="00F96AD2">
        <w:rPr>
          <w:rFonts w:asciiTheme="minorEastAsia" w:eastAsiaTheme="minorEastAsia" w:hAnsiTheme="minorEastAsia" w:cs="宋体" w:hint="eastAsia"/>
          <w:kern w:val="0"/>
          <w:sz w:val="24"/>
          <w:szCs w:val="24"/>
        </w:rPr>
        <w:t>表格中的</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评价项目</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分别按水利类、给排水类情况进行加分和扣分；</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6.</w:t>
      </w:r>
      <w:r w:rsidRPr="00F96AD2">
        <w:rPr>
          <w:rFonts w:asciiTheme="minorEastAsia" w:eastAsiaTheme="minorEastAsia" w:hAnsiTheme="minorEastAsia" w:cs="宋体" w:hint="eastAsia"/>
          <w:kern w:val="0"/>
          <w:sz w:val="24"/>
          <w:szCs w:val="24"/>
        </w:rPr>
        <w:t>表格中</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近二年</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指截止每季度末之日止前二年时间：</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近一年</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（一年）指截止每季度末之日止前一年时间。</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7.</w:t>
      </w:r>
      <w:r w:rsidRPr="00F96AD2">
        <w:rPr>
          <w:rFonts w:asciiTheme="minorEastAsia" w:eastAsiaTheme="minorEastAsia" w:hAnsiTheme="minorEastAsia" w:cs="宋体" w:hint="eastAsia"/>
          <w:kern w:val="0"/>
          <w:sz w:val="24"/>
          <w:szCs w:val="24"/>
        </w:rPr>
        <w:t>表格中</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有效期</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如无特别说明，则按</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认定依据</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的材料或文件发布的时间之日开始计算；加分、扣分仍处于有效期的，无需录入，分数由系统自动计算。</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8.</w:t>
      </w:r>
      <w:r w:rsidRPr="00F96AD2">
        <w:rPr>
          <w:rFonts w:asciiTheme="minorEastAsia" w:eastAsiaTheme="minorEastAsia" w:hAnsiTheme="minorEastAsia" w:cs="宋体" w:hint="eastAsia"/>
          <w:kern w:val="0"/>
          <w:sz w:val="24"/>
          <w:szCs w:val="24"/>
        </w:rPr>
        <w:t>计算累计中标额的项目为广州地区的水务工程。按照本办法，施工合同价在</w:t>
      </w:r>
      <w:r w:rsidRPr="00F96AD2">
        <w:rPr>
          <w:rFonts w:asciiTheme="minorEastAsia" w:eastAsiaTheme="minorEastAsia" w:hAnsiTheme="minorEastAsia"/>
          <w:kern w:val="0"/>
          <w:sz w:val="24"/>
          <w:szCs w:val="24"/>
        </w:rPr>
        <w:t>400</w:t>
      </w:r>
      <w:r w:rsidRPr="00F96AD2">
        <w:rPr>
          <w:rFonts w:asciiTheme="minorEastAsia" w:eastAsiaTheme="minorEastAsia" w:hAnsiTheme="minorEastAsia" w:cs="宋体" w:hint="eastAsia"/>
          <w:kern w:val="0"/>
          <w:sz w:val="24"/>
          <w:szCs w:val="24"/>
        </w:rPr>
        <w:t>万元以上的水务工程建设项目，监理中标额以广州公共资源交易中心发出的中标通知书为准，无上述中标通知书的，以项目法人（建设单位）与监理企业合同成立首次确立的价格认定，需同时提供对应施工项目的中标通知书。</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9.</w:t>
      </w:r>
      <w:r w:rsidRPr="00F96AD2">
        <w:rPr>
          <w:rFonts w:asciiTheme="minorEastAsia" w:eastAsiaTheme="minorEastAsia" w:hAnsiTheme="minorEastAsia" w:cs="宋体" w:hint="eastAsia"/>
          <w:kern w:val="0"/>
          <w:sz w:val="24"/>
          <w:szCs w:val="24"/>
        </w:rPr>
        <w:t>若企业某一扣分行为符合两项以上（含两项）扣分标准，则按分值高的标准进行扣分，不重复扣分。</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10.</w:t>
      </w:r>
      <w:r w:rsidRPr="00F96AD2">
        <w:rPr>
          <w:rFonts w:asciiTheme="minorEastAsia" w:eastAsiaTheme="minorEastAsia" w:hAnsiTheme="minorEastAsia" w:cs="宋体" w:hint="eastAsia"/>
          <w:kern w:val="0"/>
          <w:sz w:val="24"/>
          <w:szCs w:val="24"/>
        </w:rPr>
        <w:t>企业市场行为扣分不封顶。市场行为评价低于零分以下，企业市场行为评价按零分计算。</w:t>
      </w:r>
    </w:p>
    <w:p w:rsidR="00C0787D" w:rsidRPr="00F96AD2" w:rsidRDefault="00C0787D" w:rsidP="00C0787D">
      <w:pPr>
        <w:widowControl/>
        <w:jc w:val="left"/>
        <w:rPr>
          <w:rFonts w:asciiTheme="minorEastAsia" w:eastAsiaTheme="minorEastAsia" w:hAnsiTheme="minorEastAsia"/>
          <w:b/>
          <w:kern w:val="0"/>
          <w:sz w:val="24"/>
          <w:szCs w:val="24"/>
          <w:shd w:val="clear" w:color="auto" w:fill="FFFFFF"/>
        </w:rPr>
      </w:pPr>
      <w:r w:rsidRPr="00F96AD2">
        <w:rPr>
          <w:rFonts w:asciiTheme="minorEastAsia" w:eastAsiaTheme="minorEastAsia" w:hAnsiTheme="minorEastAsia"/>
          <w:b/>
          <w:kern w:val="0"/>
          <w:sz w:val="24"/>
          <w:szCs w:val="24"/>
          <w:shd w:val="clear" w:color="auto" w:fill="FFFFFF"/>
        </w:rPr>
        <w:br w:type="page"/>
      </w:r>
    </w:p>
    <w:p w:rsidR="00C0787D" w:rsidRPr="00F96AD2" w:rsidRDefault="00C0787D" w:rsidP="00C0787D">
      <w:pPr>
        <w:spacing w:line="58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lastRenderedPageBreak/>
        <w:t>附件2-1</w:t>
      </w:r>
    </w:p>
    <w:tbl>
      <w:tblPr>
        <w:tblW w:w="0" w:type="auto"/>
        <w:jc w:val="center"/>
        <w:tblLayout w:type="fixed"/>
        <w:tblLook w:val="0000"/>
      </w:tblPr>
      <w:tblGrid>
        <w:gridCol w:w="820"/>
        <w:gridCol w:w="4740"/>
        <w:gridCol w:w="5200"/>
        <w:gridCol w:w="1020"/>
        <w:gridCol w:w="1780"/>
      </w:tblGrid>
      <w:tr w:rsidR="00C0787D" w:rsidRPr="00F96AD2" w:rsidTr="00913AE2">
        <w:trPr>
          <w:trHeight w:val="405"/>
          <w:tblHeader/>
          <w:jc w:val="center"/>
        </w:trPr>
        <w:tc>
          <w:tcPr>
            <w:tcW w:w="13560" w:type="dxa"/>
            <w:gridSpan w:val="5"/>
            <w:tcBorders>
              <w:top w:val="nil"/>
              <w:left w:val="nil"/>
              <w:bottom w:val="single" w:sz="4" w:space="0" w:color="auto"/>
              <w:right w:val="nil"/>
            </w:tcBorders>
            <w:noWrap/>
            <w:vAlign w:val="center"/>
          </w:tcPr>
          <w:p w:rsidR="00C0787D" w:rsidRPr="00F96AD2" w:rsidRDefault="00C0787D" w:rsidP="009857E1">
            <w:pPr>
              <w:widowControl/>
              <w:spacing w:line="480" w:lineRule="auto"/>
              <w:jc w:val="center"/>
              <w:rPr>
                <w:rFonts w:asciiTheme="minorEastAsia" w:eastAsiaTheme="minorEastAsia" w:hAnsiTheme="minorEastAsia" w:cs="宋体"/>
                <w:b/>
                <w:bCs/>
                <w:kern w:val="0"/>
                <w:sz w:val="24"/>
                <w:szCs w:val="24"/>
              </w:rPr>
            </w:pPr>
            <w:r w:rsidRPr="009857E1">
              <w:rPr>
                <w:rFonts w:asciiTheme="minorEastAsia" w:eastAsiaTheme="minorEastAsia" w:hAnsiTheme="minorEastAsia" w:cs="宋体" w:hint="eastAsia"/>
                <w:b/>
                <w:kern w:val="0"/>
                <w:sz w:val="24"/>
                <w:szCs w:val="24"/>
              </w:rPr>
              <w:t>广州市水务建设市场监理企业获奖奖项认定标准（给排水类企业）</w:t>
            </w:r>
          </w:p>
        </w:tc>
      </w:tr>
      <w:tr w:rsidR="00C0787D" w:rsidRPr="00F96AD2" w:rsidTr="00913AE2">
        <w:trPr>
          <w:trHeight w:val="285"/>
          <w:tblHeader/>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序号</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奖项</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认定或颁奖部门</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加分值</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备注</w:t>
            </w:r>
          </w:p>
        </w:tc>
      </w:tr>
      <w:tr w:rsidR="00C0787D" w:rsidRPr="00F96AD2" w:rsidTr="00913AE2">
        <w:trPr>
          <w:trHeight w:val="285"/>
          <w:jc w:val="center"/>
        </w:trPr>
        <w:tc>
          <w:tcPr>
            <w:tcW w:w="13560" w:type="dxa"/>
            <w:gridSpan w:val="5"/>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一、广州地区（含广州市为受益市的）的水务工程项目</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15</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市政金杯奖（全国市政金杯示范工程）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中国市政工程协会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15</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15</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15</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建设工程项目施工安全生产标准化建设工地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中国建筑业协会建筑安全分会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15</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华夏建设科学技术奖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中国建筑设计研究院</w:t>
            </w:r>
            <w:r w:rsidRPr="00F96AD2">
              <w:rPr>
                <w:rFonts w:asciiTheme="minorEastAsia" w:eastAsiaTheme="minorEastAsia" w:hAnsiTheme="minorEastAsia" w:cs="宋体" w:hint="eastAsia"/>
                <w:kern w:val="0"/>
                <w:sz w:val="24"/>
                <w:szCs w:val="24"/>
              </w:rPr>
              <w:br/>
              <w:t>（华夏建设科学技术奖励委员会 ）</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国家优质工程奖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全国建筑业创新技术应用示范工程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全国绿色建筑创新奖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住房和城乡建设部或其委托单位</w:t>
            </w:r>
            <w:r w:rsidRPr="00F96AD2">
              <w:rPr>
                <w:rFonts w:asciiTheme="minorEastAsia" w:eastAsiaTheme="minorEastAsia" w:hAnsiTheme="minorEastAsia" w:cs="宋体" w:hint="eastAsia"/>
                <w:kern w:val="0"/>
                <w:sz w:val="24"/>
                <w:szCs w:val="24"/>
              </w:rPr>
              <w:br/>
              <w:t>（机构）</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中国建筑工程装饰奖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中国建筑装饰协会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中国钢结构金奖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中国建筑金属结构协会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工程项目管理优秀奖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中国勘察设计协会/中国工程咨询协会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工程总承包优秀奖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中国勘察设计协会/中国工程咨询协会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广东省建设工程金匠奖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广东省建设工程优质结构奖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广东省市政优良样板工程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广东省市政行业协会或广东省建筑业</w:t>
            </w:r>
            <w:r w:rsidRPr="00F96AD2">
              <w:rPr>
                <w:rFonts w:asciiTheme="minorEastAsia" w:eastAsiaTheme="minorEastAsia" w:hAnsiTheme="minorEastAsia" w:cs="宋体" w:hint="eastAsia"/>
                <w:kern w:val="0"/>
                <w:sz w:val="24"/>
                <w:szCs w:val="24"/>
              </w:rPr>
              <w:br/>
              <w:t>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30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广东省市政工程安全生产文明施工示范工地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广东省市政行业协会科学技术奖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一等奖</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lastRenderedPageBreak/>
              <w:t>21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广东省建设工程项目施工安全生产标准化工地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广东省住房和城乡建设厅或其委托单位（机构）</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广东省土木工程詹天佑故乡杯</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广东省土木建筑学会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广州市建设工程安全文明绿色施工样板工地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广州市建设工程安全文明绿色施工标准化示范工地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广州市市政公用工程安全文明绿色施工工地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广州市五羊杯</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广州市建筑业联合会或广州市市政</w:t>
            </w:r>
            <w:r w:rsidRPr="00F96AD2">
              <w:rPr>
                <w:rFonts w:asciiTheme="minorEastAsia" w:eastAsiaTheme="minorEastAsia" w:hAnsiTheme="minorEastAsia" w:cs="宋体" w:hint="eastAsia"/>
                <w:kern w:val="0"/>
                <w:sz w:val="24"/>
                <w:szCs w:val="24"/>
              </w:rPr>
              <w:br/>
              <w:t>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广州市建筑业联合会或广州市市政</w:t>
            </w:r>
            <w:r w:rsidRPr="00F96AD2">
              <w:rPr>
                <w:rFonts w:asciiTheme="minorEastAsia" w:eastAsiaTheme="minorEastAsia" w:hAnsiTheme="minorEastAsia" w:cs="宋体" w:hint="eastAsia"/>
                <w:kern w:val="0"/>
                <w:sz w:val="24"/>
                <w:szCs w:val="24"/>
              </w:rPr>
              <w:br/>
              <w:t>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广州市建设工程结构优质奖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广州市建筑业联合会或广州市市政</w:t>
            </w:r>
            <w:r w:rsidRPr="00F96AD2">
              <w:rPr>
                <w:rFonts w:asciiTheme="minorEastAsia" w:eastAsiaTheme="minorEastAsia" w:hAnsiTheme="minorEastAsia" w:cs="宋体" w:hint="eastAsia"/>
                <w:kern w:val="0"/>
                <w:sz w:val="24"/>
                <w:szCs w:val="24"/>
              </w:rPr>
              <w:br/>
              <w:t>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54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广州市建设工程中小型优质奖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广州市建筑业联合会或广州市市政</w:t>
            </w:r>
            <w:r w:rsidRPr="00F96AD2">
              <w:rPr>
                <w:rFonts w:asciiTheme="minorEastAsia" w:eastAsiaTheme="minorEastAsia" w:hAnsiTheme="minorEastAsia" w:cs="宋体" w:hint="eastAsia"/>
                <w:kern w:val="0"/>
                <w:sz w:val="24"/>
                <w:szCs w:val="24"/>
              </w:rPr>
              <w:br/>
              <w:t>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300"/>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广州市水务精品工程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广州水务协会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市水务局通报表扬或嘉奖的</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广州市水务局或其委托单位（机构）</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5560" w:type="dxa"/>
            <w:gridSpan w:val="2"/>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二、非广州地区的水务工程项目</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b/>
                <w:bCs/>
                <w:kern w:val="0"/>
                <w:sz w:val="24"/>
                <w:szCs w:val="24"/>
              </w:rPr>
            </w:pPr>
            <w:r w:rsidRPr="00F96AD2">
              <w:rPr>
                <w:rFonts w:asciiTheme="minorEastAsia" w:eastAsiaTheme="minorEastAsia" w:hAnsiTheme="minorEastAsia" w:cs="宋体" w:hint="eastAsia"/>
                <w:b/>
                <w:bCs/>
                <w:kern w:val="0"/>
                <w:sz w:val="24"/>
                <w:szCs w:val="24"/>
              </w:rPr>
              <w:t xml:space="preserve">　</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市政金杯奖（全国市政金杯示范工程）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中国市政工程协会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trHeight w:val="285"/>
          <w:jc w:val="center"/>
        </w:trPr>
        <w:tc>
          <w:tcPr>
            <w:tcW w:w="82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建设工程项目施工安全生产标准化建设工地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中国建筑业协会建筑安全分会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bl>
    <w:p w:rsidR="00C0787D" w:rsidRPr="00F96AD2" w:rsidRDefault="00C0787D" w:rsidP="00C0787D">
      <w:pPr>
        <w:widowControl/>
        <w:spacing w:line="300" w:lineRule="exact"/>
        <w:jc w:val="left"/>
        <w:rPr>
          <w:rFonts w:asciiTheme="minorEastAsia" w:eastAsiaTheme="minorEastAsia" w:hAnsiTheme="minorEastAsia"/>
          <w:b/>
          <w:kern w:val="0"/>
          <w:sz w:val="24"/>
          <w:szCs w:val="24"/>
          <w:shd w:val="clear" w:color="auto" w:fill="FFFFFF"/>
        </w:rPr>
      </w:pPr>
    </w:p>
    <w:p w:rsidR="00C0787D" w:rsidRPr="00F96AD2" w:rsidRDefault="00C0787D" w:rsidP="00C0787D">
      <w:pPr>
        <w:widowControl/>
        <w:jc w:val="left"/>
        <w:rPr>
          <w:rFonts w:asciiTheme="minorEastAsia" w:eastAsiaTheme="minorEastAsia" w:hAnsiTheme="minorEastAsia"/>
          <w:b/>
          <w:kern w:val="0"/>
          <w:sz w:val="24"/>
          <w:szCs w:val="24"/>
          <w:shd w:val="clear" w:color="auto" w:fill="FFFFFF"/>
        </w:rPr>
      </w:pPr>
      <w:r w:rsidRPr="00F96AD2">
        <w:rPr>
          <w:rFonts w:asciiTheme="minorEastAsia" w:eastAsiaTheme="minorEastAsia" w:hAnsiTheme="minorEastAsia"/>
          <w:b/>
          <w:kern w:val="0"/>
          <w:sz w:val="24"/>
          <w:szCs w:val="24"/>
          <w:shd w:val="clear" w:color="auto" w:fill="FFFFFF"/>
        </w:rPr>
        <w:br w:type="page"/>
      </w:r>
    </w:p>
    <w:p w:rsidR="00C0787D" w:rsidRPr="00F96AD2" w:rsidRDefault="00C0787D" w:rsidP="00C0787D">
      <w:pPr>
        <w:spacing w:line="58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lastRenderedPageBreak/>
        <w:t>附件2-2</w:t>
      </w:r>
    </w:p>
    <w:tbl>
      <w:tblPr>
        <w:tblW w:w="0" w:type="auto"/>
        <w:jc w:val="center"/>
        <w:tblLayout w:type="fixed"/>
        <w:tblLook w:val="0000"/>
      </w:tblPr>
      <w:tblGrid>
        <w:gridCol w:w="960"/>
        <w:gridCol w:w="4740"/>
        <w:gridCol w:w="5200"/>
        <w:gridCol w:w="1020"/>
        <w:gridCol w:w="1780"/>
      </w:tblGrid>
      <w:tr w:rsidR="00C0787D" w:rsidRPr="00F96AD2" w:rsidTr="00913AE2">
        <w:trPr>
          <w:trHeight w:val="405"/>
          <w:tblHeader/>
          <w:jc w:val="center"/>
        </w:trPr>
        <w:tc>
          <w:tcPr>
            <w:tcW w:w="13700" w:type="dxa"/>
            <w:gridSpan w:val="5"/>
            <w:tcBorders>
              <w:top w:val="nil"/>
              <w:left w:val="nil"/>
              <w:bottom w:val="nil"/>
              <w:right w:val="nil"/>
            </w:tcBorders>
            <w:vAlign w:val="center"/>
          </w:tcPr>
          <w:p w:rsidR="00C0787D" w:rsidRPr="00F96AD2" w:rsidRDefault="00C0787D" w:rsidP="009857E1">
            <w:pPr>
              <w:widowControl/>
              <w:spacing w:line="480" w:lineRule="auto"/>
              <w:jc w:val="center"/>
              <w:rPr>
                <w:rFonts w:asciiTheme="minorEastAsia" w:eastAsiaTheme="minorEastAsia" w:hAnsiTheme="minorEastAsia"/>
                <w:kern w:val="0"/>
                <w:sz w:val="24"/>
                <w:szCs w:val="24"/>
              </w:rPr>
            </w:pPr>
            <w:r w:rsidRPr="009857E1">
              <w:rPr>
                <w:rFonts w:asciiTheme="minorEastAsia" w:eastAsiaTheme="minorEastAsia" w:hAnsiTheme="minorEastAsia" w:cs="宋体" w:hint="eastAsia"/>
                <w:b/>
                <w:kern w:val="0"/>
                <w:sz w:val="24"/>
                <w:szCs w:val="24"/>
              </w:rPr>
              <w:t>广州市水务建设市场监理企业获奖奖项认定标准（水利类企业）</w:t>
            </w:r>
          </w:p>
        </w:tc>
      </w:tr>
      <w:tr w:rsidR="00C0787D" w:rsidRPr="00F96AD2" w:rsidTr="00913AE2">
        <w:trPr>
          <w:trHeight w:val="285"/>
          <w:tblHeader/>
          <w:jc w:val="center"/>
        </w:trPr>
        <w:tc>
          <w:tcPr>
            <w:tcW w:w="960" w:type="dxa"/>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序号</w:t>
            </w:r>
          </w:p>
        </w:tc>
        <w:tc>
          <w:tcPr>
            <w:tcW w:w="4740" w:type="dxa"/>
            <w:tcBorders>
              <w:top w:val="single" w:sz="4" w:space="0" w:color="auto"/>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奖项</w:t>
            </w:r>
          </w:p>
        </w:tc>
        <w:tc>
          <w:tcPr>
            <w:tcW w:w="5200" w:type="dxa"/>
            <w:tcBorders>
              <w:top w:val="single" w:sz="4" w:space="0" w:color="auto"/>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认定或颁奖部门</w:t>
            </w:r>
          </w:p>
        </w:tc>
        <w:tc>
          <w:tcPr>
            <w:tcW w:w="1020" w:type="dxa"/>
            <w:tcBorders>
              <w:top w:val="single" w:sz="4" w:space="0" w:color="auto"/>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加分值</w:t>
            </w:r>
          </w:p>
        </w:tc>
        <w:tc>
          <w:tcPr>
            <w:tcW w:w="1780" w:type="dxa"/>
            <w:tcBorders>
              <w:top w:val="single" w:sz="4" w:space="0" w:color="auto"/>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备注</w:t>
            </w:r>
          </w:p>
        </w:tc>
      </w:tr>
      <w:tr w:rsidR="00C0787D" w:rsidRPr="00F96AD2" w:rsidTr="00913AE2">
        <w:trPr>
          <w:trHeight w:val="285"/>
          <w:jc w:val="center"/>
        </w:trPr>
        <w:tc>
          <w:tcPr>
            <w:tcW w:w="13700" w:type="dxa"/>
            <w:gridSpan w:val="5"/>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一、广州地区（含广州市为受益市的）的水务工程项目</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中国水利工程优质（大禹）奖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中国水利工程协会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大禹水利科学技术奖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中国水利学会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7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华夏建设科学技术奖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中国建筑设计研究院</w:t>
            </w:r>
            <w:r w:rsidRPr="00F96AD2">
              <w:rPr>
                <w:rFonts w:asciiTheme="minorEastAsia" w:eastAsiaTheme="minorEastAsia" w:hAnsiTheme="minorEastAsia" w:hint="eastAsia"/>
                <w:kern w:val="0"/>
                <w:sz w:val="24"/>
                <w:szCs w:val="24"/>
              </w:rPr>
              <w:br/>
              <w:t>（华夏建设科学技术奖励委员会</w:t>
            </w:r>
            <w:r w:rsidRPr="00F96AD2">
              <w:rPr>
                <w:rFonts w:asciiTheme="minorEastAsia" w:eastAsiaTheme="minorEastAsia" w:hAnsiTheme="minorEastAsia"/>
                <w:kern w:val="0"/>
                <w:sz w:val="24"/>
                <w:szCs w:val="24"/>
              </w:rPr>
              <w:t xml:space="preserve"> </w:t>
            </w:r>
            <w:r w:rsidRPr="00F96AD2">
              <w:rPr>
                <w:rFonts w:asciiTheme="minorEastAsia" w:eastAsiaTheme="minorEastAsia" w:hAnsiTheme="minorEastAsia" w:hint="eastAsia"/>
                <w:kern w:val="0"/>
                <w:sz w:val="24"/>
                <w:szCs w:val="24"/>
              </w:rPr>
              <w:t>）</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全国绿色建筑创新奖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住房城乡建设部</w:t>
            </w:r>
            <w:r w:rsidRPr="00F96AD2">
              <w:rPr>
                <w:rFonts w:asciiTheme="minorEastAsia" w:eastAsiaTheme="minorEastAsia" w:hAnsiTheme="minorEastAsia" w:hint="eastAsia"/>
                <w:kern w:val="0"/>
                <w:sz w:val="24"/>
                <w:szCs w:val="24"/>
              </w:rPr>
              <w:br/>
              <w:t>（住房城乡建设部建筑节能与科技司）</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水利建设工程文明工地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中国水利工程协会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中国建筑工程装饰奖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中国建筑装饰协会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中国钢结构金奖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中国建筑金属结构协会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工程项目管理优秀奖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中国勘察设计协会</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工程总承包优秀奖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中国勘察设计协会</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广东优质水利工程奖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广东省水利水电行业协会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广东省水利学会水利科学技术奖（广东水利科技奖）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一等奖</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广东省土木工程詹天佑故乡杯</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广东省土木建筑学会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广东省建设工程金匠奖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广东省建设工程优质结构奖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20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广东省市政优良样板工程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广东省市政行业协会或广东省建筑业协会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广东省水利建设工程文明工地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广东省水利水电行业协会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78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广州市建设工程安全文明绿色施工样板工地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广州市建设工程安全文明绿色施工标准化示范工地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广州市市政公用工程安全文明绿色施工工地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jc w:val="center"/>
        </w:trPr>
        <w:tc>
          <w:tcPr>
            <w:tcW w:w="960" w:type="dxa"/>
            <w:tcBorders>
              <w:top w:val="nil"/>
              <w:left w:val="single" w:sz="4" w:space="0" w:color="auto"/>
              <w:bottom w:val="nil"/>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广州市水务精品工程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广州水务协会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jc w:val="center"/>
        </w:trPr>
        <w:tc>
          <w:tcPr>
            <w:tcW w:w="960" w:type="dxa"/>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市水务局通报表扬或嘉奖的</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广州市水务局或其委托单位（机构）</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285"/>
          <w:jc w:val="center"/>
        </w:trPr>
        <w:tc>
          <w:tcPr>
            <w:tcW w:w="13700" w:type="dxa"/>
            <w:gridSpan w:val="5"/>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二、非广州地区的水务工程项目</w:t>
            </w:r>
          </w:p>
        </w:tc>
      </w:tr>
      <w:tr w:rsidR="00C0787D" w:rsidRPr="00F96AD2" w:rsidTr="00913AE2">
        <w:trPr>
          <w:trHeight w:val="315"/>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市政金杯奖（全国市政金杯示范工程）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中国市政工程协会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jc w:val="center"/>
        </w:trPr>
        <w:tc>
          <w:tcPr>
            <w:tcW w:w="96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建设工程项目施工安全生产标准化建设工地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中国建筑业协会建筑安全分会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4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8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4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bl>
    <w:p w:rsidR="00574F80" w:rsidRPr="00F96AD2" w:rsidRDefault="00574F80" w:rsidP="00C72969">
      <w:pPr>
        <w:spacing w:line="380" w:lineRule="exact"/>
        <w:rPr>
          <w:rFonts w:asciiTheme="minorEastAsia" w:eastAsiaTheme="minorEastAsia" w:hAnsiTheme="minorEastAsia"/>
          <w:sz w:val="24"/>
          <w:szCs w:val="24"/>
        </w:rPr>
      </w:pPr>
    </w:p>
    <w:sectPr w:rsidR="00574F80" w:rsidRPr="00F96AD2" w:rsidSect="00C019B3">
      <w:footerReference w:type="default" r:id="rId7"/>
      <w:pgSz w:w="16838" w:h="11906" w:orient="landscape"/>
      <w:pgMar w:top="720" w:right="720" w:bottom="720" w:left="720" w:header="566" w:footer="62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500" w:rsidRDefault="007D5500" w:rsidP="00C0787D">
      <w:r>
        <w:separator/>
      </w:r>
    </w:p>
  </w:endnote>
  <w:endnote w:type="continuationSeparator" w:id="1">
    <w:p w:rsidR="007D5500" w:rsidRDefault="007D5500" w:rsidP="00C0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D2" w:rsidRDefault="00F96AD2">
    <w:pPr>
      <w:pStyle w:val="a4"/>
      <w:framePr w:wrap="around" w:vAnchor="text" w:hAnchor="margin" w:xAlign="center" w:y="1"/>
      <w:rPr>
        <w:rStyle w:val="a7"/>
      </w:rPr>
    </w:pPr>
  </w:p>
  <w:p w:rsidR="00F96AD2" w:rsidRDefault="00F96AD2" w:rsidP="00F96AD2">
    <w:pPr>
      <w:adjustRightInd w:val="0"/>
      <w:snapToGrid w:val="0"/>
      <w:spacing w:beforeLines="50" w:line="380" w:lineRule="exact"/>
      <w:rPr>
        <w:rFonts w:ascii="仿宋_GB2312"/>
        <w:szCs w:val="21"/>
      </w:rPr>
    </w:pPr>
  </w:p>
  <w:p w:rsidR="00F96AD2" w:rsidRDefault="00F96A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500" w:rsidRDefault="007D5500" w:rsidP="00C0787D">
      <w:r>
        <w:separator/>
      </w:r>
    </w:p>
  </w:footnote>
  <w:footnote w:type="continuationSeparator" w:id="1">
    <w:p w:rsidR="007D5500" w:rsidRDefault="007D5500" w:rsidP="00C07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5769"/>
    <w:multiLevelType w:val="multilevel"/>
    <w:tmpl w:val="2A8E57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D181EF8"/>
    <w:multiLevelType w:val="multilevel"/>
    <w:tmpl w:val="2D181E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87D"/>
    <w:rsid w:val="00264B87"/>
    <w:rsid w:val="00560595"/>
    <w:rsid w:val="00574F80"/>
    <w:rsid w:val="007D5500"/>
    <w:rsid w:val="00913AE2"/>
    <w:rsid w:val="009839C3"/>
    <w:rsid w:val="009857E1"/>
    <w:rsid w:val="009F29DB"/>
    <w:rsid w:val="00A71E63"/>
    <w:rsid w:val="00A8685C"/>
    <w:rsid w:val="00BD4A99"/>
    <w:rsid w:val="00C019B3"/>
    <w:rsid w:val="00C0787D"/>
    <w:rsid w:val="00C72969"/>
    <w:rsid w:val="00F96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7D"/>
    <w:pPr>
      <w:widowControl w:val="0"/>
      <w:jc w:val="both"/>
    </w:pPr>
    <w:rPr>
      <w:rFonts w:ascii="Times New Roman" w:eastAsia="仿宋_GB2312" w:hAnsi="Times New Roman" w:cs="Times New Roman"/>
      <w:sz w:val="32"/>
      <w:szCs w:val="20"/>
    </w:rPr>
  </w:style>
  <w:style w:type="paragraph" w:styleId="2">
    <w:name w:val="heading 2"/>
    <w:basedOn w:val="a"/>
    <w:next w:val="a"/>
    <w:link w:val="2Char"/>
    <w:qFormat/>
    <w:rsid w:val="00C0787D"/>
    <w:pPr>
      <w:keepNext/>
      <w:keepLines/>
      <w:spacing w:before="260" w:after="260" w:line="416" w:lineRule="auto"/>
      <w:outlineLvl w:val="1"/>
    </w:pPr>
    <w:rPr>
      <w:rFonts w:ascii="Arial" w:eastAsia="黑体" w:hAnsi="Arial"/>
      <w:b/>
      <w:bCs/>
      <w:kern w:val="0"/>
      <w:szCs w:val="32"/>
    </w:rPr>
  </w:style>
  <w:style w:type="paragraph" w:styleId="3">
    <w:name w:val="heading 3"/>
    <w:basedOn w:val="a"/>
    <w:next w:val="a"/>
    <w:link w:val="3Char"/>
    <w:qFormat/>
    <w:rsid w:val="00C0787D"/>
    <w:pPr>
      <w:keepNext/>
      <w:keepLines/>
      <w:spacing w:before="260" w:after="100" w:afterAutospacing="1" w:line="416" w:lineRule="auto"/>
      <w:outlineLvl w:val="2"/>
    </w:pPr>
    <w:rPr>
      <w:rFonts w:ascii="Calibri" w:eastAsia="宋体" w:hAnsi="Calibri"/>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07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787D"/>
    <w:rPr>
      <w:sz w:val="18"/>
      <w:szCs w:val="18"/>
    </w:rPr>
  </w:style>
  <w:style w:type="paragraph" w:styleId="a4">
    <w:name w:val="footer"/>
    <w:basedOn w:val="a"/>
    <w:link w:val="Char0"/>
    <w:unhideWhenUsed/>
    <w:rsid w:val="00C0787D"/>
    <w:pPr>
      <w:tabs>
        <w:tab w:val="center" w:pos="4153"/>
        <w:tab w:val="right" w:pos="8306"/>
      </w:tabs>
      <w:snapToGrid w:val="0"/>
      <w:jc w:val="left"/>
    </w:pPr>
    <w:rPr>
      <w:sz w:val="18"/>
      <w:szCs w:val="18"/>
    </w:rPr>
  </w:style>
  <w:style w:type="character" w:customStyle="1" w:styleId="Char0">
    <w:name w:val="页脚 Char"/>
    <w:basedOn w:val="a0"/>
    <w:link w:val="a4"/>
    <w:rsid w:val="00C0787D"/>
    <w:rPr>
      <w:sz w:val="18"/>
      <w:szCs w:val="18"/>
    </w:rPr>
  </w:style>
  <w:style w:type="character" w:customStyle="1" w:styleId="2Char">
    <w:name w:val="标题 2 Char"/>
    <w:basedOn w:val="a0"/>
    <w:link w:val="2"/>
    <w:rsid w:val="00C0787D"/>
    <w:rPr>
      <w:rFonts w:ascii="Arial" w:eastAsia="黑体" w:hAnsi="Arial" w:cs="Times New Roman"/>
      <w:b/>
      <w:bCs/>
      <w:kern w:val="0"/>
      <w:sz w:val="32"/>
      <w:szCs w:val="32"/>
    </w:rPr>
  </w:style>
  <w:style w:type="character" w:customStyle="1" w:styleId="3Char">
    <w:name w:val="标题 3 Char"/>
    <w:basedOn w:val="a0"/>
    <w:link w:val="3"/>
    <w:rsid w:val="00C0787D"/>
    <w:rPr>
      <w:rFonts w:ascii="Calibri" w:eastAsia="宋体" w:hAnsi="Calibri" w:cs="Times New Roman"/>
      <w:b/>
      <w:bCs/>
      <w:kern w:val="0"/>
      <w:sz w:val="32"/>
      <w:szCs w:val="32"/>
    </w:rPr>
  </w:style>
  <w:style w:type="character" w:customStyle="1" w:styleId="Char1">
    <w:name w:val="正文文本缩进 Char"/>
    <w:link w:val="a5"/>
    <w:rsid w:val="00C0787D"/>
    <w:rPr>
      <w:rFonts w:ascii="Times New Roman" w:eastAsia="宋体" w:hAnsi="Times New Roman" w:cs="Times New Roman"/>
      <w:sz w:val="24"/>
      <w:szCs w:val="20"/>
    </w:rPr>
  </w:style>
  <w:style w:type="character" w:styleId="a6">
    <w:name w:val="Strong"/>
    <w:qFormat/>
    <w:rsid w:val="00C0787D"/>
    <w:rPr>
      <w:b/>
      <w:bCs/>
    </w:rPr>
  </w:style>
  <w:style w:type="character" w:styleId="a7">
    <w:name w:val="page number"/>
    <w:basedOn w:val="a0"/>
    <w:rsid w:val="00C0787D"/>
  </w:style>
  <w:style w:type="character" w:customStyle="1" w:styleId="Char2">
    <w:name w:val="批注框文本 Char"/>
    <w:link w:val="a8"/>
    <w:semiHidden/>
    <w:rsid w:val="00C0787D"/>
    <w:rPr>
      <w:rFonts w:ascii="Calibri" w:eastAsia="宋体" w:hAnsi="Calibri" w:cs="Times New Roman"/>
      <w:sz w:val="18"/>
      <w:szCs w:val="18"/>
    </w:rPr>
  </w:style>
  <w:style w:type="character" w:customStyle="1" w:styleId="Char10">
    <w:name w:val="正文文本缩进 Char1"/>
    <w:uiPriority w:val="99"/>
    <w:semiHidden/>
    <w:rsid w:val="00C0787D"/>
    <w:rPr>
      <w:rFonts w:ascii="Times New Roman" w:eastAsia="仿宋_GB2312" w:hAnsi="Times New Roman" w:cs="Times New Roman"/>
      <w:sz w:val="32"/>
      <w:szCs w:val="20"/>
    </w:rPr>
  </w:style>
  <w:style w:type="paragraph" w:styleId="a5">
    <w:name w:val="Body Text Indent"/>
    <w:basedOn w:val="a"/>
    <w:link w:val="Char1"/>
    <w:rsid w:val="00C0787D"/>
    <w:pPr>
      <w:snapToGrid w:val="0"/>
      <w:spacing w:line="312" w:lineRule="auto"/>
      <w:ind w:left="680" w:hanging="680"/>
    </w:pPr>
    <w:rPr>
      <w:rFonts w:eastAsia="宋体"/>
      <w:sz w:val="24"/>
    </w:rPr>
  </w:style>
  <w:style w:type="character" w:customStyle="1" w:styleId="Char20">
    <w:name w:val="正文文本缩进 Char2"/>
    <w:basedOn w:val="a0"/>
    <w:link w:val="a5"/>
    <w:uiPriority w:val="99"/>
    <w:semiHidden/>
    <w:rsid w:val="00C0787D"/>
    <w:rPr>
      <w:rFonts w:ascii="Times New Roman" w:eastAsia="仿宋_GB2312" w:hAnsi="Times New Roman" w:cs="Times New Roman"/>
      <w:sz w:val="32"/>
      <w:szCs w:val="20"/>
    </w:rPr>
  </w:style>
  <w:style w:type="paragraph" w:customStyle="1" w:styleId="a9">
    <w:name w:val="公文标题"/>
    <w:basedOn w:val="3"/>
    <w:rsid w:val="00C0787D"/>
    <w:pPr>
      <w:spacing w:afterAutospacing="0" w:line="240" w:lineRule="auto"/>
      <w:ind w:left="1469" w:right="1542"/>
      <w:jc w:val="center"/>
    </w:pPr>
    <w:rPr>
      <w:rFonts w:ascii="Times New Roman" w:hAnsi="Times New Roman"/>
      <w:bCs w:val="0"/>
      <w:sz w:val="44"/>
      <w:szCs w:val="20"/>
    </w:rPr>
  </w:style>
  <w:style w:type="paragraph" w:styleId="a8">
    <w:name w:val="Balloon Text"/>
    <w:basedOn w:val="a"/>
    <w:link w:val="Char2"/>
    <w:semiHidden/>
    <w:rsid w:val="00C0787D"/>
    <w:pPr>
      <w:spacing w:after="100" w:afterAutospacing="1"/>
    </w:pPr>
    <w:rPr>
      <w:rFonts w:ascii="Calibri" w:eastAsia="宋体" w:hAnsi="Calibri"/>
      <w:sz w:val="18"/>
      <w:szCs w:val="18"/>
    </w:rPr>
  </w:style>
  <w:style w:type="character" w:customStyle="1" w:styleId="Char11">
    <w:name w:val="批注框文本 Char1"/>
    <w:basedOn w:val="a0"/>
    <w:link w:val="a8"/>
    <w:uiPriority w:val="99"/>
    <w:semiHidden/>
    <w:rsid w:val="00C0787D"/>
    <w:rPr>
      <w:rFonts w:ascii="Times New Roman" w:eastAsia="仿宋_GB2312" w:hAnsi="Times New Roman" w:cs="Times New Roman"/>
      <w:sz w:val="18"/>
      <w:szCs w:val="18"/>
    </w:rPr>
  </w:style>
  <w:style w:type="paragraph" w:styleId="aa">
    <w:name w:val="List Paragraph"/>
    <w:basedOn w:val="a"/>
    <w:uiPriority w:val="34"/>
    <w:qFormat/>
    <w:rsid w:val="00C0787D"/>
    <w:pPr>
      <w:spacing w:after="100" w:afterAutospacing="1"/>
      <w:ind w:firstLineChars="200" w:firstLine="420"/>
    </w:pPr>
    <w:rPr>
      <w:rFonts w:ascii="Calibri" w:eastAsia="宋体" w:hAnsi="Calibri"/>
      <w:sz w:val="21"/>
      <w:szCs w:val="22"/>
    </w:rPr>
  </w:style>
  <w:style w:type="table" w:styleId="ab">
    <w:name w:val="Table Grid"/>
    <w:basedOn w:val="a1"/>
    <w:rsid w:val="00C0787D"/>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inioncontent">
    <w:name w:val="opinioncontent"/>
    <w:basedOn w:val="a0"/>
    <w:rsid w:val="00BD4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904</Words>
  <Characters>5159</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曾俊龙</dc:creator>
  <cp:lastModifiedBy>曾俊龙</cp:lastModifiedBy>
  <cp:revision>2</cp:revision>
  <cp:lastPrinted>2020-10-29T08:56:00Z</cp:lastPrinted>
  <dcterms:created xsi:type="dcterms:W3CDTF">2020-11-02T02:02:00Z</dcterms:created>
  <dcterms:modified xsi:type="dcterms:W3CDTF">2020-11-02T02:02:00Z</dcterms:modified>
</cp:coreProperties>
</file>