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eastAsia" w:ascii="黑体" w:hAnsi="黑体" w:eastAsia="黑体" w:cs="黑体"/>
          <w:bCs/>
          <w:color w:val="auto"/>
          <w:kern w:val="0"/>
          <w:szCs w:val="32"/>
          <w:highlight w:val="none"/>
          <w:lang w:bidi="ar"/>
        </w:rPr>
      </w:pPr>
      <w:bookmarkStart w:id="0" w:name="_GoBack"/>
      <w:r>
        <w:rPr>
          <w:rFonts w:hint="eastAsia" w:ascii="黑体" w:hAnsi="黑体" w:eastAsia="黑体" w:cs="黑体"/>
          <w:bCs/>
          <w:color w:val="auto"/>
          <w:kern w:val="0"/>
          <w:szCs w:val="32"/>
          <w:highlight w:val="none"/>
          <w:lang w:bidi="ar"/>
        </w:rPr>
        <w:t>附件1</w:t>
      </w:r>
    </w:p>
    <w:p>
      <w:pPr>
        <w:jc w:val="center"/>
        <w:rPr>
          <w:rFonts w:hint="default" w:ascii="方正小标宋简体" w:hAnsi="方正小标宋简体" w:eastAsia="方正小标宋简体" w:cs="方正小标宋简体"/>
          <w:bCs/>
          <w:color w:val="auto"/>
          <w:kern w:val="0"/>
          <w:sz w:val="36"/>
          <w:szCs w:val="36"/>
          <w:highlight w:val="none"/>
          <w:lang w:bidi="ar"/>
        </w:rPr>
      </w:pPr>
      <w:r>
        <w:rPr>
          <w:rFonts w:hint="eastAsia" w:ascii="方正小标宋简体" w:hAnsi="方正小标宋简体" w:eastAsia="方正小标宋简体" w:cs="方正小标宋简体"/>
          <w:bCs/>
          <w:color w:val="auto"/>
          <w:kern w:val="0"/>
          <w:sz w:val="36"/>
          <w:szCs w:val="36"/>
          <w:highlight w:val="none"/>
          <w:lang w:bidi="ar"/>
        </w:rPr>
        <w:t>广州市白云区</w:t>
      </w:r>
      <w:r>
        <w:rPr>
          <w:rFonts w:hint="eastAsia" w:ascii="方正小标宋简体" w:hAnsi="方正小标宋简体" w:eastAsia="方正小标宋简体" w:cs="方正小标宋简体"/>
          <w:bCs/>
          <w:color w:val="auto"/>
          <w:kern w:val="0"/>
          <w:sz w:val="36"/>
          <w:szCs w:val="36"/>
          <w:highlight w:val="none"/>
          <w:lang w:val="en-US" w:eastAsia="zh-CN" w:bidi="ar"/>
        </w:rPr>
        <w:t>2023年</w:t>
      </w:r>
      <w:r>
        <w:rPr>
          <w:rFonts w:hint="eastAsia" w:ascii="方正小标宋简体" w:hAnsi="方正小标宋简体" w:eastAsia="方正小标宋简体" w:cs="方正小标宋简体"/>
          <w:bCs/>
          <w:color w:val="auto"/>
          <w:kern w:val="0"/>
          <w:sz w:val="36"/>
          <w:szCs w:val="36"/>
          <w:highlight w:val="none"/>
          <w:lang w:bidi="ar"/>
        </w:rPr>
        <w:t>来穗人员随迁子女积分制入学指标及分值</w:t>
      </w:r>
      <w:r>
        <w:rPr>
          <w:rFonts w:hint="default" w:ascii="方正小标宋简体" w:hAnsi="方正小标宋简体" w:eastAsia="方正小标宋简体" w:cs="方正小标宋简体"/>
          <w:bCs/>
          <w:color w:val="auto"/>
          <w:kern w:val="0"/>
          <w:sz w:val="36"/>
          <w:szCs w:val="36"/>
          <w:highlight w:val="none"/>
          <w:lang w:bidi="ar"/>
        </w:rPr>
        <w:t>体系表</w:t>
      </w:r>
    </w:p>
    <w:bookmarkEnd w:id="0"/>
    <w:tbl>
      <w:tblPr>
        <w:tblStyle w:val="5"/>
        <w:tblW w:w="95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8"/>
        <w:gridCol w:w="468"/>
        <w:gridCol w:w="1236"/>
        <w:gridCol w:w="4846"/>
        <w:gridCol w:w="24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blHeader/>
        </w:trPr>
        <w:tc>
          <w:tcPr>
            <w:tcW w:w="5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类别</w:t>
            </w:r>
          </w:p>
        </w:tc>
        <w:tc>
          <w:tcPr>
            <w:tcW w:w="468"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序号</w:t>
            </w:r>
          </w:p>
        </w:tc>
        <w:tc>
          <w:tcPr>
            <w:tcW w:w="1236"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指标</w:t>
            </w:r>
          </w:p>
        </w:tc>
        <w:tc>
          <w:tcPr>
            <w:tcW w:w="4846"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指标内容及分值</w:t>
            </w:r>
          </w:p>
        </w:tc>
        <w:tc>
          <w:tcPr>
            <w:tcW w:w="2417" w:type="dxa"/>
            <w:tcBorders>
              <w:top w:val="single" w:color="auto" w:sz="8"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eastAsia" w:ascii="黑体" w:hAnsi="黑体" w:eastAsia="黑体" w:cs="黑体"/>
                <w:b w:val="0"/>
                <w:bCs w:val="0"/>
                <w:color w:val="auto"/>
                <w:szCs w:val="24"/>
                <w:highlight w:val="none"/>
              </w:rPr>
            </w:pPr>
            <w:r>
              <w:rPr>
                <w:rFonts w:hint="eastAsia" w:ascii="黑体" w:hAnsi="黑体" w:eastAsia="黑体" w:cs="黑体"/>
                <w:b w:val="0"/>
                <w:bCs w:val="0"/>
                <w:color w:val="auto"/>
                <w:szCs w:val="24"/>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基础指标</w:t>
            </w: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w:t>
            </w:r>
          </w:p>
        </w:tc>
        <w:tc>
          <w:tcPr>
            <w:tcW w:w="123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合法稳定住所</w:t>
            </w:r>
          </w:p>
        </w:tc>
        <w:tc>
          <w:tcPr>
            <w:tcW w:w="4846" w:type="dxa"/>
            <w:tcBorders>
              <w:top w:val="nil"/>
              <w:left w:val="nil"/>
              <w:bottom w:val="single" w:color="auto" w:sz="8" w:space="0"/>
              <w:right w:val="single" w:color="auto" w:sz="8" w:space="0"/>
            </w:tcBorders>
            <w:tcMar>
              <w:left w:w="108" w:type="dxa"/>
              <w:right w:w="108" w:type="dxa"/>
            </w:tcMar>
            <w:vAlign w:val="center"/>
          </w:tcPr>
          <w:p>
            <w:pPr>
              <w:pStyle w:val="3"/>
              <w:widowControl/>
              <w:numPr>
                <w:ilvl w:val="0"/>
                <w:numId w:val="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在广州市办理《广东省居住证》，每满1年计8分</w:t>
            </w:r>
            <w:r>
              <w:rPr>
                <w:rFonts w:hint="eastAsia" w:ascii="Times New Roman" w:hAnsi="Times New Roman" w:cs="Times New Roman"/>
                <w:color w:val="auto"/>
                <w:szCs w:val="24"/>
                <w:highlight w:val="none"/>
                <w:lang w:eastAsia="zh-CN"/>
              </w:rPr>
              <w:t>。</w:t>
            </w:r>
          </w:p>
          <w:p>
            <w:pPr>
              <w:pStyle w:val="3"/>
              <w:widowControl/>
              <w:numPr>
                <w:ilvl w:val="0"/>
                <w:numId w:val="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在广州市累积居住年限：</w:t>
            </w:r>
          </w:p>
          <w:p>
            <w:pPr>
              <w:pStyle w:val="3"/>
              <w:widowControl/>
              <w:adjustRightInd w:val="0"/>
              <w:snapToGrid w:val="0"/>
              <w:spacing w:before="0" w:beforeAutospacing="0" w:after="0" w:afterAutospacing="0" w:line="300" w:lineRule="exact"/>
              <w:ind w:firstLine="480" w:firstLineChars="200"/>
              <w:jc w:val="both"/>
              <w:rPr>
                <w:rFonts w:hint="eastAsia"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rPr>
              <w:t>（1）合法产权住所（20分）</w:t>
            </w:r>
            <w:r>
              <w:rPr>
                <w:rFonts w:hint="eastAsia" w:ascii="Times New Roman" w:hAnsi="Times New Roman" w:cs="Times New Roman"/>
                <w:color w:val="auto"/>
                <w:szCs w:val="24"/>
                <w:highlight w:val="none"/>
                <w:lang w:eastAsia="zh-CN"/>
              </w:rPr>
              <w:t>。</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（2）合法租赁住所或单位宿舍，每满1年计5分，最高不超过20分。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 申请人居住地由越秀区、海珠区、荔湾区、天河区转移到本市其他行政区的，每满1年计2分，最高不超过10分。</w:t>
            </w:r>
          </w:p>
        </w:tc>
        <w:tc>
          <w:tcPr>
            <w:tcW w:w="241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既有合法产权住房、又有合法租赁住房的，由申请人选择其中一项计分。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w:t>
            </w:r>
          </w:p>
        </w:tc>
        <w:tc>
          <w:tcPr>
            <w:tcW w:w="123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合法稳定就业</w:t>
            </w:r>
          </w:p>
        </w:tc>
        <w:tc>
          <w:tcPr>
            <w:tcW w:w="484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在广州市就业（创业）并参加城镇基本养老保险、社会医疗保险（含职工社会医疗保险及城乡居民医疗保险）、失业保险、工伤保险、生育保险，每个险种每满1年计2分。在广州市就业（创业）并缴</w:t>
            </w:r>
            <w:r>
              <w:rPr>
                <w:rFonts w:hint="eastAsia" w:ascii="Times New Roman" w:hAnsi="Times New Roman" w:cs="Times New Roman"/>
                <w:color w:val="auto"/>
                <w:szCs w:val="24"/>
                <w:highlight w:val="none"/>
                <w:lang w:eastAsia="zh-CN"/>
              </w:rPr>
              <w:t>存</w:t>
            </w:r>
            <w:r>
              <w:rPr>
                <w:rFonts w:hint="default" w:ascii="Times New Roman" w:hAnsi="Times New Roman" w:cs="Times New Roman"/>
                <w:color w:val="auto"/>
                <w:szCs w:val="24"/>
                <w:highlight w:val="none"/>
              </w:rPr>
              <w:t>住房公积金，每满1年计2分。</w:t>
            </w:r>
          </w:p>
        </w:tc>
        <w:tc>
          <w:tcPr>
            <w:tcW w:w="241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67" w:hRule="atLeast"/>
        </w:trPr>
        <w:tc>
          <w:tcPr>
            <w:tcW w:w="578"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w:t>
            </w:r>
          </w:p>
        </w:tc>
        <w:tc>
          <w:tcPr>
            <w:tcW w:w="123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年龄</w:t>
            </w:r>
          </w:p>
        </w:tc>
        <w:tc>
          <w:tcPr>
            <w:tcW w:w="4846" w:type="dxa"/>
            <w:tcBorders>
              <w:top w:val="nil"/>
              <w:left w:val="nil"/>
              <w:bottom w:val="single" w:color="auto" w:sz="8" w:space="0"/>
              <w:right w:val="single" w:color="auto" w:sz="8" w:space="0"/>
            </w:tcBorders>
            <w:tcMar>
              <w:left w:w="108" w:type="dxa"/>
              <w:right w:w="108" w:type="dxa"/>
            </w:tcMar>
            <w:vAlign w:val="center"/>
          </w:tcPr>
          <w:p>
            <w:pPr>
              <w:pStyle w:val="3"/>
              <w:widowControl/>
              <w:numPr>
                <w:ilvl w:val="0"/>
                <w:numId w:val="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18—40周岁（含40周岁）（30分）</w:t>
            </w:r>
            <w:r>
              <w:rPr>
                <w:rFonts w:hint="eastAsia" w:ascii="Times New Roman" w:hAnsi="Times New Roman" w:cs="Times New Roman"/>
                <w:color w:val="auto"/>
                <w:szCs w:val="24"/>
                <w:highlight w:val="none"/>
                <w:lang w:eastAsia="zh-CN"/>
              </w:rPr>
              <w:t>。</w:t>
            </w:r>
          </w:p>
          <w:p>
            <w:pPr>
              <w:pStyle w:val="3"/>
              <w:widowControl/>
              <w:numPr>
                <w:ilvl w:val="0"/>
                <w:numId w:val="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40周岁以上的，每增加一岁（含不满一岁）少加2分。</w:t>
            </w:r>
          </w:p>
        </w:tc>
        <w:tc>
          <w:tcPr>
            <w:tcW w:w="241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动态调整，最低为0分。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22" w:hRule="atLeast"/>
        </w:trPr>
        <w:tc>
          <w:tcPr>
            <w:tcW w:w="578" w:type="dxa"/>
            <w:vMerge w:val="restart"/>
            <w:tcBorders>
              <w:top w:val="nil"/>
              <w:left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tc>
        <w:tc>
          <w:tcPr>
            <w:tcW w:w="468"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w:t>
            </w:r>
          </w:p>
        </w:tc>
        <w:tc>
          <w:tcPr>
            <w:tcW w:w="1236"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文化程度</w:t>
            </w:r>
          </w:p>
        </w:tc>
        <w:tc>
          <w:tcPr>
            <w:tcW w:w="4846" w:type="dxa"/>
            <w:tcBorders>
              <w:top w:val="nil"/>
              <w:left w:val="nil"/>
              <w:bottom w:val="single" w:color="auto" w:sz="4" w:space="0"/>
              <w:right w:val="single" w:color="auto" w:sz="8" w:space="0"/>
            </w:tcBorders>
            <w:tcMar>
              <w:left w:w="108" w:type="dxa"/>
              <w:right w:w="108" w:type="dxa"/>
            </w:tcMar>
            <w:vAlign w:val="center"/>
          </w:tcPr>
          <w:p>
            <w:pPr>
              <w:pStyle w:val="3"/>
              <w:widowControl/>
              <w:numPr>
                <w:ilvl w:val="0"/>
                <w:numId w:val="3"/>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本科及以上学历（30分）</w:t>
            </w:r>
            <w:r>
              <w:rPr>
                <w:rFonts w:hint="eastAsia" w:ascii="Times New Roman" w:hAnsi="Times New Roman" w:cs="Times New Roman"/>
                <w:color w:val="auto"/>
                <w:szCs w:val="24"/>
                <w:highlight w:val="none"/>
                <w:lang w:eastAsia="zh-CN"/>
              </w:rPr>
              <w:t>。</w:t>
            </w:r>
          </w:p>
          <w:p>
            <w:pPr>
              <w:pStyle w:val="3"/>
              <w:widowControl/>
              <w:numPr>
                <w:ilvl w:val="0"/>
                <w:numId w:val="3"/>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专科（含高职）（20分）</w:t>
            </w:r>
            <w:r>
              <w:rPr>
                <w:rFonts w:hint="eastAsia" w:ascii="Times New Roman" w:hAnsi="Times New Roman" w:cs="Times New Roman"/>
                <w:color w:val="auto"/>
                <w:szCs w:val="24"/>
                <w:highlight w:val="none"/>
                <w:lang w:eastAsia="zh-CN"/>
              </w:rPr>
              <w:t>。</w:t>
            </w:r>
          </w:p>
          <w:p>
            <w:pPr>
              <w:pStyle w:val="3"/>
              <w:widowControl/>
              <w:numPr>
                <w:ilvl w:val="0"/>
                <w:numId w:val="3"/>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高中（含中职）（10分）。</w:t>
            </w:r>
          </w:p>
        </w:tc>
        <w:tc>
          <w:tcPr>
            <w:tcW w:w="2417"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只取最高分，不累计计分。高中以下学历不计分。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vMerge w:val="continue"/>
            <w:tcBorders>
              <w:left w:val="single" w:color="auto" w:sz="4" w:space="0"/>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tc>
        <w:tc>
          <w:tcPr>
            <w:tcW w:w="4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w:t>
            </w:r>
          </w:p>
        </w:tc>
        <w:tc>
          <w:tcPr>
            <w:tcW w:w="12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技术能力</w:t>
            </w:r>
          </w:p>
        </w:tc>
        <w:tc>
          <w:tcPr>
            <w:tcW w:w="4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中级及以上职称或技师及以上职业资格（20分）</w:t>
            </w:r>
            <w:r>
              <w:rPr>
                <w:rFonts w:hint="eastAsia" w:ascii="Times New Roman" w:hAnsi="Times New Roman" w:cs="Times New Roman"/>
                <w:color w:val="auto"/>
                <w:szCs w:val="24"/>
                <w:highlight w:val="none"/>
                <w:lang w:eastAsia="zh-CN"/>
              </w:rPr>
              <w:t>。</w:t>
            </w:r>
          </w:p>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初级职称、职业资格为高级、事业单位工勤技术三级（10分）</w:t>
            </w:r>
            <w:r>
              <w:rPr>
                <w:rFonts w:hint="eastAsia" w:ascii="Times New Roman" w:hAnsi="Times New Roman" w:cs="Times New Roman"/>
                <w:color w:val="auto"/>
                <w:szCs w:val="24"/>
                <w:highlight w:val="none"/>
                <w:lang w:eastAsia="zh-CN"/>
              </w:rPr>
              <w:t>。</w:t>
            </w:r>
          </w:p>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职业资格中级、事业单位工勤技术四级（5分）</w:t>
            </w:r>
            <w:r>
              <w:rPr>
                <w:rFonts w:hint="eastAsia" w:ascii="Times New Roman" w:hAnsi="Times New Roman" w:cs="Times New Roman"/>
                <w:color w:val="auto"/>
                <w:szCs w:val="24"/>
                <w:highlight w:val="none"/>
                <w:lang w:eastAsia="zh-CN"/>
              </w:rPr>
              <w:t>。</w:t>
            </w:r>
          </w:p>
          <w:p>
            <w:pPr>
              <w:pStyle w:val="3"/>
              <w:widowControl/>
              <w:numPr>
                <w:ilvl w:val="0"/>
                <w:numId w:val="4"/>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正在从事与上述专业技术资格证书、职业资格证书相对应职业工种工作（5分）。</w:t>
            </w:r>
          </w:p>
        </w:tc>
        <w:tc>
          <w:tcPr>
            <w:tcW w:w="241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职业资格包括职业技能等级，是指获得国家、广东省、广州市人力资源和社会保障部门认可的国家职业资格。只取最高分，不累计计分。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70" w:hRule="atLeast"/>
        </w:trPr>
        <w:tc>
          <w:tcPr>
            <w:tcW w:w="578" w:type="dxa"/>
            <w:vMerge w:val="restart"/>
            <w:tcBorders>
              <w:top w:val="single" w:color="auto" w:sz="4" w:space="0"/>
              <w:left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both"/>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p>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tc>
        <w:tc>
          <w:tcPr>
            <w:tcW w:w="468"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w:t>
            </w:r>
          </w:p>
        </w:tc>
        <w:tc>
          <w:tcPr>
            <w:tcW w:w="1236"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创新能力</w:t>
            </w:r>
          </w:p>
        </w:tc>
        <w:tc>
          <w:tcPr>
            <w:tcW w:w="4846"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numPr>
                <w:ilvl w:val="0"/>
                <w:numId w:val="5"/>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近5年获得授权的有效专利且授权时的地址为广州市辖区的专利发明人或者设计人，按以下标准给予计分：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属发明专利的，每项专利按20/（人数）计算。最高不超过40分。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属实用新型专利的，每项专利按10/（人数）计算。最高不超过20分。</w:t>
            </w:r>
          </w:p>
          <w:p>
            <w:pPr>
              <w:pStyle w:val="3"/>
              <w:widowControl/>
              <w:numPr>
                <w:ilvl w:val="0"/>
                <w:numId w:val="5"/>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在广州市高新技术企业、新型研发机构从事技术创新和研发的申请人，工作每满1年计2分，最高不超过10分。</w:t>
            </w:r>
          </w:p>
        </w:tc>
        <w:tc>
          <w:tcPr>
            <w:tcW w:w="2417" w:type="dxa"/>
            <w:tcBorders>
              <w:top w:val="single" w:color="auto" w:sz="4" w:space="0"/>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专利授权后，专利发明人或设计人发生变更的，不予积分；专利地址变更到非广州市辖区内的，不予积分。对同时满足1和2两项条件的，可以累计计分。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05" w:hRule="atLeast"/>
        </w:trPr>
        <w:tc>
          <w:tcPr>
            <w:tcW w:w="578" w:type="dxa"/>
            <w:vMerge w:val="continue"/>
            <w:tcBorders>
              <w:left w:val="single" w:color="auto" w:sz="4"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w:t>
            </w:r>
          </w:p>
        </w:tc>
        <w:tc>
          <w:tcPr>
            <w:tcW w:w="1236"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急需工种或职业资格（职业技能等级）、服务行业</w:t>
            </w:r>
          </w:p>
        </w:tc>
        <w:tc>
          <w:tcPr>
            <w:tcW w:w="4846" w:type="dxa"/>
            <w:tcBorders>
              <w:top w:val="nil"/>
              <w:left w:val="nil"/>
              <w:bottom w:val="single" w:color="auto" w:sz="8" w:space="0"/>
              <w:right w:val="single" w:color="auto" w:sz="8" w:space="0"/>
            </w:tcBorders>
            <w:tcMar>
              <w:left w:w="108" w:type="dxa"/>
              <w:right w:w="108" w:type="dxa"/>
            </w:tcMar>
            <w:vAlign w:val="center"/>
          </w:tcPr>
          <w:p>
            <w:pPr>
              <w:pStyle w:val="3"/>
              <w:widowControl/>
              <w:numPr>
                <w:ilvl w:val="0"/>
                <w:numId w:val="6"/>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职业工种或职业资格符合当年广州市积分急需工种或职业资格目录（10分）</w:t>
            </w:r>
            <w:r>
              <w:rPr>
                <w:rFonts w:hint="eastAsia" w:ascii="Times New Roman" w:hAnsi="Times New Roman" w:cs="Times New Roman"/>
                <w:color w:val="auto"/>
                <w:szCs w:val="24"/>
                <w:highlight w:val="none"/>
                <w:lang w:eastAsia="zh-CN"/>
              </w:rPr>
              <w:t>。</w:t>
            </w:r>
          </w:p>
          <w:p>
            <w:pPr>
              <w:pStyle w:val="3"/>
              <w:widowControl/>
              <w:numPr>
                <w:ilvl w:val="0"/>
                <w:numId w:val="6"/>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现正从事特殊艰苦行业一线人员（10分）。工作每满1年再加计5分，最高再加分不超过20分。</w:t>
            </w:r>
          </w:p>
        </w:tc>
        <w:tc>
          <w:tcPr>
            <w:tcW w:w="2417" w:type="dxa"/>
            <w:tcBorders>
              <w:top w:val="nil"/>
              <w:left w:val="nil"/>
              <w:bottom w:val="single" w:color="auto" w:sz="8"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45" w:hRule="atLeast"/>
        </w:trPr>
        <w:tc>
          <w:tcPr>
            <w:tcW w:w="578" w:type="dxa"/>
            <w:vMerge w:val="continue"/>
            <w:tcBorders>
              <w:left w:val="single" w:color="auto" w:sz="4"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5</w:t>
            </w:r>
          </w:p>
        </w:tc>
        <w:tc>
          <w:tcPr>
            <w:tcW w:w="1236"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社会服务和公益</w:t>
            </w:r>
          </w:p>
        </w:tc>
        <w:tc>
          <w:tcPr>
            <w:tcW w:w="4846" w:type="dxa"/>
            <w:tcBorders>
              <w:top w:val="nil"/>
              <w:left w:val="nil"/>
              <w:bottom w:val="single" w:color="auto" w:sz="4" w:space="0"/>
              <w:right w:val="single" w:color="auto" w:sz="8" w:space="0"/>
            </w:tcBorders>
            <w:tcMar>
              <w:left w:w="108" w:type="dxa"/>
              <w:right w:w="108" w:type="dxa"/>
            </w:tcMar>
            <w:vAlign w:val="center"/>
          </w:tcPr>
          <w:p>
            <w:pPr>
              <w:pStyle w:val="3"/>
              <w:widowControl/>
              <w:numPr>
                <w:ilvl w:val="0"/>
                <w:numId w:val="7"/>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近5年内，参加献血（每次计2分），单项累计最高不超过10分。</w:t>
            </w:r>
          </w:p>
          <w:p>
            <w:pPr>
              <w:pStyle w:val="3"/>
              <w:widowControl/>
              <w:numPr>
                <w:ilvl w:val="0"/>
                <w:numId w:val="7"/>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近5年内，参加志愿者（义工）服务（每满50小时计2分）。1年内计分不超过2分，单项累计最高不超过10分。</w:t>
            </w:r>
          </w:p>
        </w:tc>
        <w:tc>
          <w:tcPr>
            <w:tcW w:w="2417" w:type="dxa"/>
            <w:tcBorders>
              <w:top w:val="nil"/>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95" w:hRule="atLeast"/>
        </w:trPr>
        <w:tc>
          <w:tcPr>
            <w:tcW w:w="578" w:type="dxa"/>
            <w:vMerge w:val="continue"/>
            <w:tcBorders>
              <w:left w:val="single" w:color="auto" w:sz="4" w:space="0"/>
              <w:bottom w:val="single" w:color="auto" w:sz="4"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color w:val="auto"/>
                <w:sz w:val="24"/>
                <w:szCs w:val="24"/>
                <w:highlight w:val="none"/>
              </w:rPr>
            </w:pPr>
          </w:p>
        </w:tc>
        <w:tc>
          <w:tcPr>
            <w:tcW w:w="4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6</w:t>
            </w:r>
          </w:p>
        </w:tc>
        <w:tc>
          <w:tcPr>
            <w:tcW w:w="12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纳税情况</w:t>
            </w:r>
          </w:p>
        </w:tc>
        <w:tc>
          <w:tcPr>
            <w:tcW w:w="4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numPr>
                <w:ilvl w:val="0"/>
                <w:numId w:val="8"/>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对普通劳动者，申报缴纳个人所得税：</w:t>
            </w:r>
          </w:p>
          <w:p>
            <w:pPr>
              <w:pStyle w:val="3"/>
              <w:widowControl/>
              <w:numPr>
                <w:ilvl w:val="0"/>
                <w:numId w:val="0"/>
              </w:numPr>
              <w:adjustRightInd w:val="0"/>
              <w:snapToGrid w:val="0"/>
              <w:spacing w:before="0" w:beforeAutospacing="0" w:after="0" w:afterAutospacing="0" w:line="300" w:lineRule="exact"/>
              <w:ind w:right="0" w:rightChars="0" w:firstLine="480" w:firstLineChars="200"/>
              <w:jc w:val="left"/>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（1）近3个纳税年度累积在广州市缴纳个人所得税：1万—3万元（含1万元，不含3万元）（4分）；3万—6万元（含3万元，不含6万元）（8分）；6万元以上（含6万元）（12分）。</w:t>
            </w:r>
          </w:p>
          <w:p>
            <w:pPr>
              <w:pStyle w:val="3"/>
              <w:widowControl/>
              <w:numPr>
                <w:ilvl w:val="0"/>
                <w:numId w:val="9"/>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近3个纳税年度连续每1年均在广州市申报缴纳综合所得（包括工资薪金所得、劳务报酬所得、稿酬所得，特许权使用费所得）或者经营所得的个人所得税（4分）。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（3）近1个纳税年度按规定办理个人所得税年度汇算清缴申报（含清缴税款）（2分）。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 所投资创办的企业，近3个纳税年度累积在广州市纳税：</w:t>
            </w:r>
          </w:p>
          <w:p>
            <w:pPr>
              <w:pStyle w:val="3"/>
              <w:widowControl/>
              <w:adjustRightInd w:val="0"/>
              <w:snapToGrid w:val="0"/>
              <w:spacing w:before="0" w:beforeAutospacing="0" w:after="0" w:afterAutospacing="0" w:line="300" w:lineRule="exact"/>
              <w:ind w:firstLine="480" w:firstLineChars="200"/>
              <w:jc w:val="both"/>
              <w:rPr>
                <w:rFonts w:hint="eastAsia"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rPr>
              <w:t>（1）5万—10万元（含5万元，不含10万元）（4分）</w:t>
            </w:r>
            <w:r>
              <w:rPr>
                <w:rFonts w:hint="eastAsia" w:ascii="Times New Roman" w:hAnsi="Times New Roman" w:cs="Times New Roman"/>
                <w:color w:val="auto"/>
                <w:szCs w:val="24"/>
                <w:highlight w:val="none"/>
                <w:lang w:eastAsia="zh-CN"/>
              </w:rPr>
              <w:t>。</w:t>
            </w:r>
          </w:p>
          <w:p>
            <w:pPr>
              <w:pStyle w:val="3"/>
              <w:widowControl/>
              <w:adjustRightInd w:val="0"/>
              <w:snapToGrid w:val="0"/>
              <w:spacing w:before="0" w:beforeAutospacing="0" w:after="0" w:afterAutospacing="0" w:line="300" w:lineRule="exact"/>
              <w:ind w:firstLine="480" w:firstLineChars="200"/>
              <w:jc w:val="both"/>
              <w:rPr>
                <w:rFonts w:hint="eastAsia"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rPr>
              <w:t>（2）10万—20万元（含10万元，不含20万元）（8分）</w:t>
            </w:r>
            <w:r>
              <w:rPr>
                <w:rFonts w:hint="eastAsia" w:ascii="Times New Roman" w:hAnsi="Times New Roman" w:cs="Times New Roman"/>
                <w:color w:val="auto"/>
                <w:szCs w:val="24"/>
                <w:highlight w:val="none"/>
                <w:lang w:eastAsia="zh-CN"/>
              </w:rPr>
              <w:t>。</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（3）20万元以上（含20万元）（12分）。</w:t>
            </w:r>
          </w:p>
        </w:tc>
        <w:tc>
          <w:tcPr>
            <w:tcW w:w="241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3"/>
              <w:widowControl/>
              <w:numPr>
                <w:ilvl w:val="0"/>
                <w:numId w:val="10"/>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一个纳税年度指当年的1月1日至12月31日。</w:t>
            </w:r>
          </w:p>
          <w:p>
            <w:pPr>
              <w:pStyle w:val="3"/>
              <w:widowControl/>
              <w:numPr>
                <w:ilvl w:val="0"/>
                <w:numId w:val="10"/>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对同时满足1和2两项条件的，可以累计计分。</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 w:hRule="atLeast"/>
        </w:trPr>
        <w:tc>
          <w:tcPr>
            <w:tcW w:w="578" w:type="dxa"/>
            <w:tcBorders>
              <w:top w:val="single" w:color="auto" w:sz="4" w:space="0"/>
              <w:left w:val="single" w:color="auto" w:sz="4" w:space="0"/>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加分指标</w:t>
            </w:r>
          </w:p>
        </w:tc>
        <w:tc>
          <w:tcPr>
            <w:tcW w:w="468"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7</w:t>
            </w:r>
          </w:p>
        </w:tc>
        <w:tc>
          <w:tcPr>
            <w:tcW w:w="1236"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adjustRightInd w:val="0"/>
              <w:snapToGrid w:val="0"/>
              <w:spacing w:before="0" w:beforeAutospacing="0" w:after="0" w:afterAutospacing="0" w:line="300" w:lineRule="exact"/>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表彰奖项</w:t>
            </w:r>
          </w:p>
        </w:tc>
        <w:tc>
          <w:tcPr>
            <w:tcW w:w="4846"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个人获得党中央、国务院授予的奖项和荣誉称号（30分）</w:t>
            </w:r>
            <w:r>
              <w:rPr>
                <w:rFonts w:hint="eastAsia" w:ascii="Times New Roman" w:hAnsi="Times New Roman" w:cs="Times New Roman"/>
                <w:color w:val="auto"/>
                <w:szCs w:val="24"/>
                <w:highlight w:val="none"/>
                <w:lang w:eastAsia="zh-CN"/>
              </w:rPr>
              <w:t>。</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个人获得广东省委、省政府或中央和国家机关部委等授予的劳动模范或先进工作者等荣誉称号（20分）</w:t>
            </w:r>
            <w:r>
              <w:rPr>
                <w:rFonts w:hint="eastAsia" w:ascii="Times New Roman" w:hAnsi="Times New Roman" w:cs="Times New Roman"/>
                <w:color w:val="auto"/>
                <w:szCs w:val="24"/>
                <w:highlight w:val="none"/>
                <w:lang w:eastAsia="zh-CN"/>
              </w:rPr>
              <w:t>。</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个人获得广州市委、市政府授予的奖项和荣誉称号（10分）</w:t>
            </w:r>
            <w:r>
              <w:rPr>
                <w:rFonts w:hint="eastAsia" w:ascii="Times New Roman" w:hAnsi="Times New Roman" w:cs="Times New Roman"/>
                <w:color w:val="auto"/>
                <w:szCs w:val="24"/>
                <w:highlight w:val="none"/>
                <w:lang w:eastAsia="zh-CN"/>
              </w:rPr>
              <w:t>。</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个人获得广州市直机关或各区委、区政府授予的奖项和荣誉称号（5分）。</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个人获得中央军委授予的荣誉称号（30分）。</w:t>
            </w:r>
          </w:p>
          <w:p>
            <w:pPr>
              <w:pStyle w:val="3"/>
              <w:widowControl/>
              <w:numPr>
                <w:ilvl w:val="0"/>
                <w:numId w:val="11"/>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个人获得一等功（首次20分，累加每次5分）；获得二等功（首次10分，累加每次2分）；获得三等功（首次5分，累加每次1分）。</w:t>
            </w:r>
          </w:p>
        </w:tc>
        <w:tc>
          <w:tcPr>
            <w:tcW w:w="2417" w:type="dxa"/>
            <w:tcBorders>
              <w:top w:val="single" w:color="auto" w:sz="4" w:space="0"/>
              <w:left w:val="nil"/>
              <w:bottom w:val="single" w:color="auto" w:sz="4" w:space="0"/>
              <w:right w:val="single" w:color="auto" w:sz="8" w:space="0"/>
            </w:tcBorders>
            <w:tcMar>
              <w:left w:w="108" w:type="dxa"/>
              <w:right w:w="108" w:type="dxa"/>
            </w:tcMar>
            <w:vAlign w:val="center"/>
          </w:tcPr>
          <w:p>
            <w:pPr>
              <w:pStyle w:val="3"/>
              <w:widowControl/>
              <w:numPr>
                <w:ilvl w:val="0"/>
                <w:numId w:val="1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只计个人在广州市工作期间获得的奖项。</w:t>
            </w:r>
          </w:p>
          <w:p>
            <w:pPr>
              <w:pStyle w:val="3"/>
              <w:widowControl/>
              <w:numPr>
                <w:ilvl w:val="0"/>
                <w:numId w:val="1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同一奖项只取最高分，不同奖项可累计计分。</w:t>
            </w:r>
          </w:p>
          <w:p>
            <w:pPr>
              <w:pStyle w:val="3"/>
              <w:widowControl/>
              <w:numPr>
                <w:ilvl w:val="0"/>
                <w:numId w:val="12"/>
              </w:numPr>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服役期间立功受奖情况（指标内容5—6）不受上述限制。</w:t>
            </w:r>
          </w:p>
          <w:p>
            <w:pPr>
              <w:pStyle w:val="3"/>
              <w:widowControl/>
              <w:adjustRightInd w:val="0"/>
              <w:snapToGrid w:val="0"/>
              <w:spacing w:before="0" w:beforeAutospacing="0" w:after="0" w:afterAutospacing="0" w:line="300" w:lineRule="exact"/>
              <w:ind w:firstLine="480" w:firstLineChars="200"/>
              <w:jc w:val="both"/>
              <w:rPr>
                <w:rFonts w:hint="default" w:ascii="Times New Roman" w:hAnsi="Times New Roman" w:cs="Times New Roman"/>
                <w:color w:val="auto"/>
                <w:szCs w:val="24"/>
                <w:highlight w:val="none"/>
              </w:rPr>
            </w:pP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CF8A5"/>
    <w:multiLevelType w:val="singleLevel"/>
    <w:tmpl w:val="829CF8A5"/>
    <w:lvl w:ilvl="0" w:tentative="0">
      <w:start w:val="1"/>
      <w:numFmt w:val="decimal"/>
      <w:suff w:val="space"/>
      <w:lvlText w:val="%1."/>
      <w:lvlJc w:val="left"/>
    </w:lvl>
  </w:abstractNum>
  <w:abstractNum w:abstractNumId="1">
    <w:nsid w:val="A407C273"/>
    <w:multiLevelType w:val="singleLevel"/>
    <w:tmpl w:val="A407C273"/>
    <w:lvl w:ilvl="0" w:tentative="0">
      <w:start w:val="1"/>
      <w:numFmt w:val="decimal"/>
      <w:suff w:val="space"/>
      <w:lvlText w:val="%1."/>
      <w:lvlJc w:val="left"/>
    </w:lvl>
  </w:abstractNum>
  <w:abstractNum w:abstractNumId="2">
    <w:nsid w:val="CB01D1C3"/>
    <w:multiLevelType w:val="singleLevel"/>
    <w:tmpl w:val="CB01D1C3"/>
    <w:lvl w:ilvl="0" w:tentative="0">
      <w:start w:val="1"/>
      <w:numFmt w:val="decimal"/>
      <w:suff w:val="space"/>
      <w:lvlText w:val="%1."/>
      <w:lvlJc w:val="left"/>
    </w:lvl>
  </w:abstractNum>
  <w:abstractNum w:abstractNumId="3">
    <w:nsid w:val="DC96FBD3"/>
    <w:multiLevelType w:val="singleLevel"/>
    <w:tmpl w:val="DC96FBD3"/>
    <w:lvl w:ilvl="0" w:tentative="0">
      <w:start w:val="1"/>
      <w:numFmt w:val="decimal"/>
      <w:suff w:val="space"/>
      <w:lvlText w:val="%1."/>
      <w:lvlJc w:val="left"/>
    </w:lvl>
  </w:abstractNum>
  <w:abstractNum w:abstractNumId="4">
    <w:nsid w:val="E5E8D0F4"/>
    <w:multiLevelType w:val="singleLevel"/>
    <w:tmpl w:val="E5E8D0F4"/>
    <w:lvl w:ilvl="0" w:tentative="0">
      <w:start w:val="1"/>
      <w:numFmt w:val="decimal"/>
      <w:suff w:val="space"/>
      <w:lvlText w:val="%1."/>
      <w:lvlJc w:val="left"/>
    </w:lvl>
  </w:abstractNum>
  <w:abstractNum w:abstractNumId="5">
    <w:nsid w:val="E9ADAC0C"/>
    <w:multiLevelType w:val="singleLevel"/>
    <w:tmpl w:val="E9ADAC0C"/>
    <w:lvl w:ilvl="0" w:tentative="0">
      <w:start w:val="2"/>
      <w:numFmt w:val="decimal"/>
      <w:suff w:val="nothing"/>
      <w:lvlText w:val="（%1）"/>
      <w:lvlJc w:val="left"/>
    </w:lvl>
  </w:abstractNum>
  <w:abstractNum w:abstractNumId="6">
    <w:nsid w:val="05F6D64A"/>
    <w:multiLevelType w:val="singleLevel"/>
    <w:tmpl w:val="05F6D64A"/>
    <w:lvl w:ilvl="0" w:tentative="0">
      <w:start w:val="1"/>
      <w:numFmt w:val="decimal"/>
      <w:suff w:val="space"/>
      <w:lvlText w:val="%1."/>
      <w:lvlJc w:val="left"/>
    </w:lvl>
  </w:abstractNum>
  <w:abstractNum w:abstractNumId="7">
    <w:nsid w:val="075093D7"/>
    <w:multiLevelType w:val="singleLevel"/>
    <w:tmpl w:val="075093D7"/>
    <w:lvl w:ilvl="0" w:tentative="0">
      <w:start w:val="1"/>
      <w:numFmt w:val="decimal"/>
      <w:suff w:val="space"/>
      <w:lvlText w:val="%1."/>
      <w:lvlJc w:val="left"/>
    </w:lvl>
  </w:abstractNum>
  <w:abstractNum w:abstractNumId="8">
    <w:nsid w:val="1369A34A"/>
    <w:multiLevelType w:val="singleLevel"/>
    <w:tmpl w:val="1369A34A"/>
    <w:lvl w:ilvl="0" w:tentative="0">
      <w:start w:val="1"/>
      <w:numFmt w:val="decimal"/>
      <w:suff w:val="space"/>
      <w:lvlText w:val="%1."/>
      <w:lvlJc w:val="left"/>
    </w:lvl>
  </w:abstractNum>
  <w:abstractNum w:abstractNumId="9">
    <w:nsid w:val="2B585805"/>
    <w:multiLevelType w:val="singleLevel"/>
    <w:tmpl w:val="2B585805"/>
    <w:lvl w:ilvl="0" w:tentative="0">
      <w:start w:val="1"/>
      <w:numFmt w:val="decimal"/>
      <w:suff w:val="space"/>
      <w:lvlText w:val="%1."/>
      <w:lvlJc w:val="left"/>
    </w:lvl>
  </w:abstractNum>
  <w:abstractNum w:abstractNumId="10">
    <w:nsid w:val="37F2225F"/>
    <w:multiLevelType w:val="singleLevel"/>
    <w:tmpl w:val="37F2225F"/>
    <w:lvl w:ilvl="0" w:tentative="0">
      <w:start w:val="1"/>
      <w:numFmt w:val="decimal"/>
      <w:suff w:val="space"/>
      <w:lvlText w:val="%1."/>
      <w:lvlJc w:val="left"/>
    </w:lvl>
  </w:abstractNum>
  <w:abstractNum w:abstractNumId="11">
    <w:nsid w:val="4B34A7BD"/>
    <w:multiLevelType w:val="singleLevel"/>
    <w:tmpl w:val="4B34A7BD"/>
    <w:lvl w:ilvl="0" w:tentative="0">
      <w:start w:val="1"/>
      <w:numFmt w:val="decimal"/>
      <w:suff w:val="space"/>
      <w:lvlText w:val="%1."/>
      <w:lvlJc w:val="left"/>
    </w:lvl>
  </w:abstractNum>
  <w:num w:numId="1">
    <w:abstractNumId w:val="0"/>
  </w:num>
  <w:num w:numId="2">
    <w:abstractNumId w:val="11"/>
  </w:num>
  <w:num w:numId="3">
    <w:abstractNumId w:val="1"/>
  </w:num>
  <w:num w:numId="4">
    <w:abstractNumId w:val="9"/>
  </w:num>
  <w:num w:numId="5">
    <w:abstractNumId w:val="10"/>
  </w:num>
  <w:num w:numId="6">
    <w:abstractNumId w:val="2"/>
  </w:num>
  <w:num w:numId="7">
    <w:abstractNumId w:val="4"/>
  </w:num>
  <w:num w:numId="8">
    <w:abstractNumId w:val="3"/>
  </w:num>
  <w:num w:numId="9">
    <w:abstractNumId w:val="5"/>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B0A8E"/>
    <w:rsid w:val="744B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区司法局</Company>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2023-05-11T08:52:00Z</dcterms:created>
  <dc:creator>郑佳琳</dc:creator>
  <cp:lastModifiedBy>郑佳琳</cp:lastModifiedBy>
  <dcterms:modified xsi:type="dcterms:W3CDTF">2023-05-11T08:55:01Z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