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>附表</w:t>
      </w:r>
      <w:r>
        <w:rPr>
          <w:rFonts w:ascii="Times New Roman" w:hAnsi="Times New Roman" w:eastAsia="黑体"/>
          <w:sz w:val="32"/>
          <w:szCs w:val="32"/>
          <w:lang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eastAsia="黑体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广州市陆域生态空间划定情况汇总表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14"/>
        <w:gridCol w:w="1043"/>
        <w:gridCol w:w="1048"/>
        <w:gridCol w:w="1043"/>
        <w:gridCol w:w="1047"/>
        <w:gridCol w:w="1044"/>
        <w:gridCol w:w="1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序号</w:t>
            </w: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行政分区</w:t>
            </w:r>
          </w:p>
        </w:tc>
        <w:tc>
          <w:tcPr>
            <w:tcW w:w="2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生态保护红线</w:t>
            </w:r>
          </w:p>
        </w:tc>
        <w:tc>
          <w:tcPr>
            <w:tcW w:w="2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一般生态空间</w:t>
            </w:r>
          </w:p>
        </w:tc>
        <w:tc>
          <w:tcPr>
            <w:tcW w:w="2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生态空间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（</w:t>
            </w:r>
            <w:r>
              <w:rPr>
                <w:rFonts w:ascii="Times New Roman" w:hAnsi="Times New Roman" w:eastAsia="黑体"/>
                <w:sz w:val="24"/>
                <w:lang w:bidi="ar"/>
              </w:rPr>
              <w:t>km</w:t>
            </w:r>
            <w:r>
              <w:rPr>
                <w:rFonts w:ascii="Times New Roman" w:hAnsi="Times New Roman" w:eastAsia="黑体"/>
                <w:sz w:val="24"/>
                <w:vertAlign w:val="superscript"/>
                <w:lang w:bidi="ar"/>
              </w:rPr>
              <w:t>2</w:t>
            </w:r>
            <w:r>
              <w:rPr>
                <w:rFonts w:hAnsi="等线" w:eastAsia="黑体"/>
                <w:sz w:val="24"/>
                <w:lang w:bidi="ar"/>
              </w:rPr>
              <w:t>）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lang w:eastAsia="zh-CN" w:bidi="ar"/>
              </w:rPr>
              <w:t>%</w:t>
            </w:r>
            <w:r>
              <w:rPr>
                <w:rFonts w:hAnsi="等线" w:eastAsia="黑体"/>
                <w:sz w:val="24"/>
                <w:lang w:bidi="ar"/>
              </w:rPr>
              <w:t>）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面积（</w:t>
            </w:r>
            <w:r>
              <w:rPr>
                <w:rFonts w:ascii="Times New Roman" w:hAnsi="Times New Roman" w:eastAsia="黑体"/>
                <w:sz w:val="24"/>
                <w:lang w:bidi="ar"/>
              </w:rPr>
              <w:t>km</w:t>
            </w:r>
            <w:r>
              <w:rPr>
                <w:rFonts w:ascii="Times New Roman" w:hAnsi="Times New Roman" w:eastAsia="黑体"/>
                <w:sz w:val="24"/>
                <w:vertAlign w:val="superscript"/>
                <w:lang w:bidi="ar"/>
              </w:rPr>
              <w:t>2</w:t>
            </w:r>
            <w:r>
              <w:rPr>
                <w:rFonts w:hAnsi="等线" w:eastAsia="黑体"/>
                <w:sz w:val="24"/>
                <w:lang w:bidi="ar"/>
              </w:rPr>
              <w:t>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比例（</w:t>
            </w:r>
            <w:r>
              <w:rPr>
                <w:rFonts w:hint="eastAsia" w:ascii="Times New Roman" w:hAnsi="Times New Roman" w:eastAsia="黑体"/>
                <w:sz w:val="24"/>
                <w:lang w:eastAsia="zh-CN" w:bidi="ar"/>
              </w:rPr>
              <w:t>%</w:t>
            </w:r>
            <w:r>
              <w:rPr>
                <w:rFonts w:hAnsi="等线" w:eastAsia="黑体"/>
                <w:sz w:val="24"/>
                <w:lang w:bidi="ar"/>
              </w:rPr>
              <w:t>）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（</w:t>
            </w:r>
            <w:r>
              <w:rPr>
                <w:rFonts w:ascii="Times New Roman" w:hAnsi="Times New Roman" w:eastAsia="黑体"/>
                <w:sz w:val="24"/>
                <w:lang w:bidi="ar"/>
              </w:rPr>
              <w:t>km</w:t>
            </w:r>
            <w:r>
              <w:rPr>
                <w:rFonts w:ascii="Times New Roman" w:hAnsi="Times New Roman" w:eastAsia="黑体"/>
                <w:sz w:val="24"/>
                <w:vertAlign w:val="superscript"/>
                <w:lang w:bidi="ar"/>
              </w:rPr>
              <w:t>2</w:t>
            </w:r>
            <w:r>
              <w:rPr>
                <w:rFonts w:hAnsi="等线" w:eastAsia="黑体"/>
                <w:sz w:val="24"/>
                <w:lang w:bidi="ar"/>
              </w:rPr>
              <w:t>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Ansi="等线" w:eastAsia="黑体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lang w:eastAsia="zh-CN" w:bidi="ar"/>
              </w:rPr>
              <w:t>%</w:t>
            </w:r>
            <w:r>
              <w:rPr>
                <w:rFonts w:hAnsi="等线" w:eastAsia="黑体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越秀区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61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21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海珠区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8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70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46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8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70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3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荔湾区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天河区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13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60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95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06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51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15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66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11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5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白云区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65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17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81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34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5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23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94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15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6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黄埔区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64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29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26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5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61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47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62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7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花都区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131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93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13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61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21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172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73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17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8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番禺区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15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81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3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07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00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75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81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南沙区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21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91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36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66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10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从化区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746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38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37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62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126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07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6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35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872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45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43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11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增城区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307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50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04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200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12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44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508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46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31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4</w:t>
            </w:r>
            <w:r>
              <w:rPr>
                <w:rFonts w:hint="eastAsia" w:ascii="Times New Roman" w:hAnsi="Times New Roman"/>
                <w:sz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4"/>
                <w:lang w:bidi="ar"/>
              </w:rPr>
              <w:t>全市合计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1329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94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18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35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450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6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21</w:t>
            </w: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1780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24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lang w:bidi="ar"/>
              </w:rPr>
              <w:t>24</w:t>
            </w:r>
            <w:r>
              <w:rPr>
                <w:sz w:val="24"/>
                <w:lang w:bidi="ar"/>
              </w:rPr>
              <w:t>.</w:t>
            </w:r>
            <w:r>
              <w:rPr>
                <w:rFonts w:ascii="Times New Roman" w:hAnsi="Times New Roman"/>
                <w:sz w:val="24"/>
                <w:lang w:bidi="ar"/>
              </w:rPr>
              <w:t>56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2257C-0850-46F1-BB20-76E86CF09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F0A093-C530-46C6-B0C8-6A70C7CC1BA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324EA70-495D-459A-BC64-6C9D67CF05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4859508F-9444-44FF-9186-29D96E91B7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771A6"/>
    <w:rsid w:val="2AA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2021-06-30T09:33:00Z</dcterms:created>
  <dc:creator>HTH</dc:creator>
  <cp:lastModifiedBy>HTH</cp:lastModifiedBy>
  <dcterms:modified xsi:type="dcterms:W3CDTF">2021-06-30T09:33:28Z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479F938A4B604CC490F226D65A80BFAA</vt:lpwstr>
  </property>
</Properties>
</file>