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25" w:line="560" w:lineRule="exact"/>
        <w:jc w:val="left"/>
        <w:rPr>
          <w:rFonts w:ascii="Times New Roman" w:hAnsi="Times New Roman" w:eastAsia="黑体"/>
          <w:kern w:val="0"/>
          <w:sz w:val="28"/>
          <w:szCs w:val="28"/>
          <w:shd w:val="clear" w:color="auto" w:fill="FFFFFF"/>
        </w:rPr>
      </w:pPr>
      <w:r>
        <w:rPr>
          <w:rFonts w:ascii="Times New Roman" w:hAnsi="Times New Roman" w:eastAsia="黑体"/>
          <w:kern w:val="0"/>
          <w:sz w:val="32"/>
          <w:szCs w:val="32"/>
          <w:shd w:val="clear" w:color="auto" w:fill="FFFFFF"/>
        </w:rPr>
        <w:t>附件</w:t>
      </w:r>
      <w:r>
        <w:rPr>
          <w:rFonts w:hint="eastAsia" w:ascii="Times New Roman" w:hAnsi="Times New Roman" w:eastAsia="黑体"/>
          <w:kern w:val="0"/>
          <w:sz w:val="32"/>
          <w:szCs w:val="32"/>
          <w:shd w:val="clear" w:color="auto" w:fill="FFFFFF"/>
        </w:rPr>
        <w:t>2</w:t>
      </w:r>
    </w:p>
    <w:p>
      <w:pPr>
        <w:widowControl/>
        <w:spacing w:line="560" w:lineRule="exact"/>
        <w:jc w:val="center"/>
        <w:rPr>
          <w:rFonts w:ascii="Times New Roman" w:hAnsi="Times New Roman" w:eastAsia="方正小标宋简体"/>
          <w:kern w:val="0"/>
          <w:sz w:val="44"/>
          <w:szCs w:val="44"/>
          <w:shd w:val="clear" w:color="auto" w:fill="FFFFFF"/>
        </w:rPr>
      </w:pPr>
      <w:bookmarkStart w:id="0" w:name="_GoBack"/>
      <w:r>
        <w:rPr>
          <w:rFonts w:ascii="Times New Roman" w:hAnsi="Times New Roman" w:eastAsia="方正小标宋简体"/>
          <w:kern w:val="0"/>
          <w:sz w:val="44"/>
          <w:szCs w:val="44"/>
          <w:shd w:val="clear" w:color="auto" w:fill="FFFFFF"/>
        </w:rPr>
        <w:t>预处理设施分类管养要求</w:t>
      </w:r>
    </w:p>
    <w:bookmarkEnd w:id="0"/>
    <w:tbl>
      <w:tblPr>
        <w:tblStyle w:val="2"/>
        <w:tblW w:w="10561" w:type="dxa"/>
        <w:jc w:val="center"/>
        <w:tblLayout w:type="fixed"/>
        <w:tblCellMar>
          <w:top w:w="0" w:type="dxa"/>
          <w:left w:w="0" w:type="dxa"/>
          <w:bottom w:w="0" w:type="dxa"/>
          <w:right w:w="0" w:type="dxa"/>
        </w:tblCellMar>
      </w:tblPr>
      <w:tblGrid>
        <w:gridCol w:w="1426"/>
        <w:gridCol w:w="2551"/>
        <w:gridCol w:w="4678"/>
        <w:gridCol w:w="1906"/>
      </w:tblGrid>
      <w:tr>
        <w:tblPrEx>
          <w:tblCellMar>
            <w:top w:w="0" w:type="dxa"/>
            <w:left w:w="0" w:type="dxa"/>
            <w:bottom w:w="0" w:type="dxa"/>
            <w:right w:w="0" w:type="dxa"/>
          </w:tblCellMar>
        </w:tblPrEx>
        <w:trPr>
          <w:trHeight w:val="510" w:hRule="atLeast"/>
          <w:jc w:val="center"/>
        </w:trPr>
        <w:tc>
          <w:tcPr>
            <w:tcW w:w="142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名称</w:t>
            </w:r>
          </w:p>
        </w:tc>
        <w:tc>
          <w:tcPr>
            <w:tcW w:w="255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预处理设施</w:t>
            </w:r>
          </w:p>
        </w:tc>
        <w:tc>
          <w:tcPr>
            <w:tcW w:w="46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养护要求</w:t>
            </w:r>
          </w:p>
        </w:tc>
        <w:tc>
          <w:tcPr>
            <w:tcW w:w="190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频率</w:t>
            </w:r>
          </w:p>
        </w:tc>
      </w:tr>
      <w:tr>
        <w:tblPrEx>
          <w:tblCellMar>
            <w:top w:w="0" w:type="dxa"/>
            <w:left w:w="0" w:type="dxa"/>
            <w:bottom w:w="0" w:type="dxa"/>
            <w:right w:w="0" w:type="dxa"/>
          </w:tblCellMar>
        </w:tblPrEx>
        <w:trPr>
          <w:trHeight w:val="510" w:hRule="atLeast"/>
          <w:jc w:val="center"/>
        </w:trPr>
        <w:tc>
          <w:tcPr>
            <w:tcW w:w="142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工业类</w:t>
            </w:r>
          </w:p>
        </w:tc>
        <w:tc>
          <w:tcPr>
            <w:tcW w:w="2551"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格栅（栅间距不大于25mm）</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预处理设施</w:t>
            </w:r>
          </w:p>
        </w:tc>
        <w:tc>
          <w:tcPr>
            <w:tcW w:w="46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清理格栅残渣</w:t>
            </w:r>
          </w:p>
        </w:tc>
        <w:tc>
          <w:tcPr>
            <w:tcW w:w="190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每周一次</w:t>
            </w:r>
          </w:p>
        </w:tc>
      </w:tr>
      <w:tr>
        <w:tblPrEx>
          <w:tblCellMar>
            <w:top w:w="0" w:type="dxa"/>
            <w:left w:w="0" w:type="dxa"/>
            <w:bottom w:w="0" w:type="dxa"/>
            <w:right w:w="0" w:type="dxa"/>
          </w:tblCellMar>
        </w:tblPrEx>
        <w:trPr>
          <w:trHeight w:val="510" w:hRule="atLeast"/>
          <w:jc w:val="center"/>
        </w:trPr>
        <w:tc>
          <w:tcPr>
            <w:tcW w:w="1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清疏预处理设施污泥，送专业消纳场所处置</w:t>
            </w:r>
          </w:p>
        </w:tc>
        <w:tc>
          <w:tcPr>
            <w:tcW w:w="190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及时清疏池底淤积</w:t>
            </w:r>
          </w:p>
        </w:tc>
      </w:tr>
      <w:tr>
        <w:tblPrEx>
          <w:tblCellMar>
            <w:top w:w="0" w:type="dxa"/>
            <w:left w:w="0" w:type="dxa"/>
            <w:bottom w:w="0" w:type="dxa"/>
            <w:right w:w="0" w:type="dxa"/>
          </w:tblCellMar>
        </w:tblPrEx>
        <w:trPr>
          <w:trHeight w:val="510" w:hRule="atLeast"/>
          <w:jc w:val="center"/>
        </w:trPr>
        <w:tc>
          <w:tcPr>
            <w:tcW w:w="142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建立预处理设施养护台账，落实养护责任人</w:t>
            </w:r>
          </w:p>
        </w:tc>
        <w:tc>
          <w:tcPr>
            <w:tcW w:w="190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运维台账</w:t>
            </w:r>
          </w:p>
        </w:tc>
      </w:tr>
      <w:tr>
        <w:tblPrEx>
          <w:tblCellMar>
            <w:top w:w="0" w:type="dxa"/>
            <w:left w:w="0" w:type="dxa"/>
            <w:bottom w:w="0" w:type="dxa"/>
            <w:right w:w="0" w:type="dxa"/>
          </w:tblCellMar>
        </w:tblPrEx>
        <w:trPr>
          <w:trHeight w:val="510" w:hRule="atLeast"/>
          <w:jc w:val="center"/>
        </w:trPr>
        <w:tc>
          <w:tcPr>
            <w:tcW w:w="1426"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建筑类</w:t>
            </w:r>
          </w:p>
        </w:tc>
        <w:tc>
          <w:tcPr>
            <w:tcW w:w="2551"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三级沉淀池</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（工地内设置生活区的排水户需增设化粪池、隔油池）</w:t>
            </w:r>
          </w:p>
        </w:tc>
        <w:tc>
          <w:tcPr>
            <w:tcW w:w="46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清疏沉淀池底部淤积泥浆</w:t>
            </w:r>
          </w:p>
        </w:tc>
        <w:tc>
          <w:tcPr>
            <w:tcW w:w="190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及时清疏池底淤积</w:t>
            </w:r>
          </w:p>
        </w:tc>
      </w:tr>
      <w:tr>
        <w:tblPrEx>
          <w:tblCellMar>
            <w:top w:w="0" w:type="dxa"/>
            <w:left w:w="0" w:type="dxa"/>
            <w:bottom w:w="0" w:type="dxa"/>
            <w:right w:w="0" w:type="dxa"/>
          </w:tblCellMar>
        </w:tblPrEx>
        <w:trPr>
          <w:trHeight w:val="510" w:hRule="atLeast"/>
          <w:jc w:val="center"/>
        </w:trPr>
        <w:tc>
          <w:tcPr>
            <w:tcW w:w="1426"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建立泥浆外运台账，送专业消纳场所处置</w:t>
            </w:r>
          </w:p>
        </w:tc>
        <w:tc>
          <w:tcPr>
            <w:tcW w:w="190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泥浆外运台账</w:t>
            </w:r>
          </w:p>
        </w:tc>
      </w:tr>
      <w:tr>
        <w:tblPrEx>
          <w:tblCellMar>
            <w:top w:w="0" w:type="dxa"/>
            <w:left w:w="0" w:type="dxa"/>
            <w:bottom w:w="0" w:type="dxa"/>
            <w:right w:w="0" w:type="dxa"/>
          </w:tblCellMar>
        </w:tblPrEx>
        <w:trPr>
          <w:trHeight w:val="510" w:hRule="atLeast"/>
          <w:jc w:val="center"/>
        </w:trPr>
        <w:tc>
          <w:tcPr>
            <w:tcW w:w="1426"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清理化粪池，防止堵塞</w:t>
            </w:r>
          </w:p>
        </w:tc>
        <w:tc>
          <w:tcPr>
            <w:tcW w:w="190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每年不少于一次</w:t>
            </w:r>
          </w:p>
        </w:tc>
      </w:tr>
      <w:tr>
        <w:tblPrEx>
          <w:tblCellMar>
            <w:top w:w="0" w:type="dxa"/>
            <w:left w:w="0" w:type="dxa"/>
            <w:bottom w:w="0" w:type="dxa"/>
            <w:right w:w="0" w:type="dxa"/>
          </w:tblCellMar>
        </w:tblPrEx>
        <w:trPr>
          <w:trHeight w:val="510" w:hRule="atLeast"/>
          <w:jc w:val="center"/>
        </w:trPr>
        <w:tc>
          <w:tcPr>
            <w:tcW w:w="1426" w:type="dxa"/>
            <w:vMerge w:val="continue"/>
            <w:tcBorders>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清疏隔油池，防止堵塞</w:t>
            </w:r>
          </w:p>
        </w:tc>
        <w:tc>
          <w:tcPr>
            <w:tcW w:w="190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运维台账</w:t>
            </w:r>
          </w:p>
        </w:tc>
      </w:tr>
      <w:tr>
        <w:tblPrEx>
          <w:tblCellMar>
            <w:top w:w="0" w:type="dxa"/>
            <w:left w:w="0" w:type="dxa"/>
            <w:bottom w:w="0" w:type="dxa"/>
            <w:right w:w="0" w:type="dxa"/>
          </w:tblCellMar>
        </w:tblPrEx>
        <w:trPr>
          <w:trHeight w:val="510" w:hRule="atLeast"/>
          <w:jc w:val="center"/>
        </w:trPr>
        <w:tc>
          <w:tcPr>
            <w:tcW w:w="14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餐饮类</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隔渣池或者格栅</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（栅间距不大于25mm）</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隔油池或者高效油水分离器</w:t>
            </w: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清掏隔渣设施残渣</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每日清掏</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清除隔油设施废油</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每日清除</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餐厨垃圾、废油分类收集，交专业单位处置</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外运台账</w:t>
            </w:r>
          </w:p>
        </w:tc>
      </w:tr>
      <w:tr>
        <w:tblPrEx>
          <w:tblCellMar>
            <w:top w:w="0" w:type="dxa"/>
            <w:left w:w="0" w:type="dxa"/>
            <w:bottom w:w="0" w:type="dxa"/>
            <w:right w:w="0" w:type="dxa"/>
          </w:tblCellMar>
        </w:tblPrEx>
        <w:trPr>
          <w:trHeight w:val="510" w:hRule="atLeast"/>
          <w:jc w:val="center"/>
        </w:trPr>
        <w:tc>
          <w:tcPr>
            <w:tcW w:w="14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医疗类</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预处理设施</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消毒设施</w:t>
            </w: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清疏预处理设施污泥</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及时清疏池底淤积</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维护消毒设施</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每月一次</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建立预处理设施运维台账，落实养护责任人</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运维台账</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医疗类排水户固体废弃物不得进入公共排水</w:t>
            </w:r>
            <w:r>
              <w:rPr>
                <w:rFonts w:hint="eastAsia" w:ascii="Times New Roman" w:hAnsi="Times New Roman" w:eastAsia="仿宋_GB2312"/>
                <w:bCs/>
                <w:kern w:val="0"/>
                <w:sz w:val="20"/>
                <w:szCs w:val="21"/>
              </w:rPr>
              <w:t>设施</w:t>
            </w:r>
            <w:r>
              <w:rPr>
                <w:rFonts w:ascii="Times New Roman" w:hAnsi="Times New Roman" w:eastAsia="仿宋_GB2312"/>
                <w:bCs/>
                <w:kern w:val="0"/>
                <w:sz w:val="20"/>
                <w:szCs w:val="21"/>
              </w:rPr>
              <w:t>，按危险废弃物要求交专业部门处理处置</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废弃物外运台账</w:t>
            </w:r>
          </w:p>
        </w:tc>
      </w:tr>
      <w:tr>
        <w:tblPrEx>
          <w:tblCellMar>
            <w:top w:w="0" w:type="dxa"/>
            <w:left w:w="0" w:type="dxa"/>
            <w:bottom w:w="0" w:type="dxa"/>
            <w:right w:w="0" w:type="dxa"/>
          </w:tblCellMar>
        </w:tblPrEx>
        <w:trPr>
          <w:trHeight w:val="510" w:hRule="atLeast"/>
          <w:jc w:val="center"/>
        </w:trPr>
        <w:tc>
          <w:tcPr>
            <w:tcW w:w="14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汽修机洗类</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200" w:firstLineChars="100"/>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格栅（栅间距不大于25mm）或者截流沟</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隔油池或者高效油水分离器</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沉砂池</w:t>
            </w: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清理格栅残渣</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每日清理</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清疏截流沟</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每周清疏</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清除隔油设施废油，送专业消纳场所处置</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每日清除</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清疏沉砂池底部淤积泥沙</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及时清疏池底淤积</w:t>
            </w:r>
          </w:p>
        </w:tc>
      </w:tr>
      <w:tr>
        <w:tblPrEx>
          <w:tblCellMar>
            <w:top w:w="0" w:type="dxa"/>
            <w:left w:w="0" w:type="dxa"/>
            <w:bottom w:w="0" w:type="dxa"/>
            <w:right w:w="0" w:type="dxa"/>
          </w:tblCellMar>
        </w:tblPrEx>
        <w:trPr>
          <w:trHeight w:val="510" w:hRule="atLeast"/>
          <w:jc w:val="center"/>
        </w:trPr>
        <w:tc>
          <w:tcPr>
            <w:tcW w:w="14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农贸市场类</w:t>
            </w:r>
          </w:p>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畜禽养殖类</w:t>
            </w:r>
          </w:p>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垃圾收集</w:t>
            </w:r>
          </w:p>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处理类</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格栅（栅间距不大于28mm）</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截流沟</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预处理设施</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（仅畜禽养殖类）</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三级沉淀池</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（农贸市场类）</w:t>
            </w: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清理格栅残渣</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每日清理</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清疏截流沟，加强卫生管理，防止管道堵塞</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每周清疏</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清疏预处理设施污泥，送专业消纳场所处置</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及时清疏池底淤积</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建立预处理设施运维台账，落实养护责任人</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运维台账</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清疏沉淀池底部淤泥，送专业消纳场所处置</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及时清疏池底淤泥</w:t>
            </w:r>
          </w:p>
        </w:tc>
      </w:tr>
      <w:tr>
        <w:tblPrEx>
          <w:tblCellMar>
            <w:top w:w="0" w:type="dxa"/>
            <w:left w:w="0" w:type="dxa"/>
            <w:bottom w:w="0" w:type="dxa"/>
            <w:right w:w="0" w:type="dxa"/>
          </w:tblCellMar>
        </w:tblPrEx>
        <w:trPr>
          <w:trHeight w:val="510" w:hRule="atLeast"/>
          <w:jc w:val="center"/>
        </w:trPr>
        <w:tc>
          <w:tcPr>
            <w:tcW w:w="14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洗涤类</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格栅（栅间距不大于25mm）</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毛发分离设施</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预处理设施</w:t>
            </w: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清理细格栅残渣</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每日清理</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清理毛发分离设施，防止淤积</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每日清理</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清疏预处理设施污泥，送专业消纳场所处置</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及时清疏池底淤积</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建立预处理设施运维台账，落实养护责任人</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hint="eastAsia" w:ascii="Times New Roman" w:hAnsi="Times New Roman" w:eastAsia="仿宋_GB2312"/>
                <w:bCs/>
                <w:kern w:val="0"/>
                <w:sz w:val="20"/>
                <w:szCs w:val="21"/>
              </w:rPr>
              <w:t>保留六个月以上</w:t>
            </w:r>
          </w:p>
          <w:p>
            <w:pPr>
              <w:widowControl/>
              <w:jc w:val="center"/>
              <w:textAlignment w:val="center"/>
              <w:rPr>
                <w:rFonts w:ascii="Times New Roman" w:hAnsi="Times New Roman" w:eastAsia="仿宋_GB2312"/>
                <w:bCs/>
                <w:kern w:val="0"/>
                <w:sz w:val="20"/>
                <w:szCs w:val="21"/>
              </w:rPr>
            </w:pPr>
            <w:r>
              <w:rPr>
                <w:rFonts w:hint="eastAsia" w:ascii="Times New Roman" w:hAnsi="Times New Roman" w:eastAsia="仿宋_GB2312"/>
                <w:bCs/>
                <w:kern w:val="0"/>
                <w:sz w:val="20"/>
                <w:szCs w:val="21"/>
              </w:rPr>
              <w:t>运维台账</w:t>
            </w:r>
          </w:p>
        </w:tc>
      </w:tr>
      <w:tr>
        <w:tblPrEx>
          <w:tblCellMar>
            <w:top w:w="0" w:type="dxa"/>
            <w:left w:w="0" w:type="dxa"/>
            <w:bottom w:w="0" w:type="dxa"/>
            <w:right w:w="0" w:type="dxa"/>
          </w:tblCellMar>
        </w:tblPrEx>
        <w:trPr>
          <w:trHeight w:val="510" w:hRule="atLeast"/>
          <w:jc w:val="center"/>
        </w:trPr>
        <w:tc>
          <w:tcPr>
            <w:tcW w:w="14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综合商业类</w:t>
            </w:r>
          </w:p>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机关事业单位（含学校）类</w:t>
            </w:r>
          </w:p>
          <w:p>
            <w:pPr>
              <w:widowControl/>
              <w:jc w:val="center"/>
              <w:textAlignment w:val="center"/>
              <w:rPr>
                <w:rFonts w:ascii="Times New Roman" w:hAnsi="Times New Roman" w:eastAsia="仿宋_GB2312"/>
                <w:b/>
                <w:bCs/>
                <w:kern w:val="0"/>
                <w:sz w:val="20"/>
                <w:szCs w:val="21"/>
              </w:rPr>
            </w:pPr>
            <w:r>
              <w:rPr>
                <w:rFonts w:ascii="Times New Roman" w:hAnsi="Times New Roman" w:eastAsia="仿宋_GB2312"/>
                <w:b/>
                <w:bCs/>
                <w:kern w:val="0"/>
                <w:sz w:val="20"/>
                <w:szCs w:val="21"/>
              </w:rPr>
              <w:t>居民类</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化粪池</w:t>
            </w:r>
          </w:p>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隔油池（机关事业单位类）</w:t>
            </w: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清理化粪池，防止堵塞</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imes New Roman" w:eastAsia="仿宋_GB2312"/>
                <w:bCs/>
                <w:kern w:val="0"/>
                <w:sz w:val="20"/>
                <w:szCs w:val="21"/>
              </w:rPr>
            </w:pPr>
            <w:r>
              <w:rPr>
                <w:rFonts w:hint="eastAsia" w:ascii="仿宋_GB2312" w:hAnsi="Times New Roman" w:eastAsia="仿宋_GB2312"/>
                <w:bCs/>
                <w:kern w:val="0"/>
                <w:sz w:val="20"/>
                <w:szCs w:val="21"/>
              </w:rPr>
              <w:t>每</w:t>
            </w:r>
            <w:r>
              <w:rPr>
                <w:rFonts w:hint="eastAsia" w:ascii="仿宋_GB2312" w:eastAsia="仿宋_GB2312"/>
                <w:bCs/>
                <w:kern w:val="0"/>
                <w:sz w:val="20"/>
              </w:rPr>
              <w:t>年不少于一次</w:t>
            </w:r>
          </w:p>
        </w:tc>
      </w:tr>
      <w:tr>
        <w:tblPrEx>
          <w:tblCellMar>
            <w:top w:w="0" w:type="dxa"/>
            <w:left w:w="0" w:type="dxa"/>
            <w:bottom w:w="0" w:type="dxa"/>
            <w:right w:w="0" w:type="dxa"/>
          </w:tblCellMar>
        </w:tblPrEx>
        <w:trPr>
          <w:trHeight w:val="510" w:hRule="atLeast"/>
          <w:jc w:val="center"/>
        </w:trPr>
        <w:tc>
          <w:tcPr>
            <w:tcW w:w="14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sz w:val="18"/>
                <w:szCs w:val="18"/>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Cs/>
                <w:kern w:val="0"/>
                <w:sz w:val="20"/>
                <w:szCs w:val="21"/>
              </w:rPr>
            </w:pPr>
            <w:r>
              <w:rPr>
                <w:rFonts w:ascii="Times New Roman" w:hAnsi="Times New Roman" w:eastAsia="仿宋_GB2312"/>
                <w:bCs/>
                <w:kern w:val="0"/>
                <w:sz w:val="20"/>
                <w:szCs w:val="21"/>
              </w:rPr>
              <w:t>清疏隔油池，防止堵塞</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imes New Roman" w:eastAsia="仿宋_GB2312"/>
                <w:bCs/>
                <w:kern w:val="0"/>
                <w:sz w:val="20"/>
                <w:szCs w:val="21"/>
              </w:rPr>
            </w:pPr>
            <w:r>
              <w:rPr>
                <w:rFonts w:hint="eastAsia" w:ascii="仿宋_GB2312" w:hAnsi="Times New Roman" w:eastAsia="仿宋_GB2312"/>
                <w:bCs/>
                <w:kern w:val="0"/>
                <w:sz w:val="20"/>
                <w:szCs w:val="21"/>
              </w:rPr>
              <w:t>保留六个月以上</w:t>
            </w:r>
          </w:p>
          <w:p>
            <w:pPr>
              <w:widowControl/>
              <w:jc w:val="center"/>
              <w:textAlignment w:val="center"/>
              <w:rPr>
                <w:rFonts w:ascii="仿宋_GB2312" w:hAnsi="Times New Roman" w:eastAsia="仿宋_GB2312"/>
                <w:bCs/>
                <w:kern w:val="0"/>
                <w:sz w:val="20"/>
                <w:szCs w:val="21"/>
              </w:rPr>
            </w:pPr>
            <w:r>
              <w:rPr>
                <w:rFonts w:hint="eastAsia" w:ascii="仿宋_GB2312" w:hAnsi="Times New Roman" w:eastAsia="仿宋_GB2312"/>
                <w:bCs/>
                <w:kern w:val="0"/>
                <w:sz w:val="20"/>
                <w:szCs w:val="21"/>
              </w:rPr>
              <w:t>运维台账</w:t>
            </w:r>
          </w:p>
        </w:tc>
      </w:tr>
      <w:tr>
        <w:tblPrEx>
          <w:tblCellMar>
            <w:top w:w="0" w:type="dxa"/>
            <w:left w:w="0" w:type="dxa"/>
            <w:bottom w:w="0" w:type="dxa"/>
            <w:right w:w="0" w:type="dxa"/>
          </w:tblCellMar>
        </w:tblPrEx>
        <w:trPr>
          <w:trHeight w:val="510" w:hRule="atLeast"/>
          <w:jc w:val="center"/>
        </w:trPr>
        <w:tc>
          <w:tcPr>
            <w:tcW w:w="1056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kern w:val="0"/>
                <w:sz w:val="20"/>
                <w:szCs w:val="21"/>
              </w:rPr>
            </w:pPr>
            <w:r>
              <w:rPr>
                <w:rFonts w:ascii="Times New Roman" w:hAnsi="Times New Roman" w:eastAsia="仿宋_GB2312"/>
                <w:kern w:val="0"/>
                <w:sz w:val="20"/>
                <w:szCs w:val="21"/>
              </w:rPr>
              <w:t>备注：1.各类排水户的行业主管部门对污水预处理设施建设和维护另有规定的，从其规定。</w:t>
            </w:r>
          </w:p>
          <w:p>
            <w:pPr>
              <w:ind w:firstLine="630"/>
              <w:jc w:val="left"/>
              <w:rPr>
                <w:rFonts w:ascii="Times New Roman" w:hAnsi="Times New Roman" w:eastAsia="仿宋_GB2312"/>
                <w:kern w:val="0"/>
                <w:sz w:val="20"/>
                <w:szCs w:val="21"/>
              </w:rPr>
            </w:pPr>
            <w:r>
              <w:rPr>
                <w:rFonts w:ascii="Times New Roman" w:hAnsi="Times New Roman" w:eastAsia="仿宋_GB2312"/>
                <w:kern w:val="0"/>
                <w:sz w:val="20"/>
                <w:szCs w:val="21"/>
              </w:rPr>
              <w:t>2.各类排水户内设食堂、医务室、垃圾收集点、市场等应当按专业管理要求设置污水预处理设施。</w:t>
            </w:r>
          </w:p>
          <w:p>
            <w:pPr>
              <w:widowControl/>
              <w:ind w:firstLine="600" w:firstLineChars="300"/>
              <w:jc w:val="left"/>
              <w:textAlignment w:val="center"/>
              <w:rPr>
                <w:rFonts w:ascii="仿宋_GB2312" w:hAnsi="Times New Roman" w:eastAsia="仿宋_GB2312"/>
                <w:bCs/>
                <w:kern w:val="0"/>
                <w:sz w:val="20"/>
                <w:szCs w:val="21"/>
              </w:rPr>
            </w:pPr>
            <w:r>
              <w:rPr>
                <w:rFonts w:ascii="Times New Roman" w:hAnsi="Times New Roman" w:eastAsia="仿宋_GB2312"/>
                <w:kern w:val="0"/>
                <w:sz w:val="20"/>
                <w:szCs w:val="21"/>
              </w:rPr>
              <w:t>3.各类排水户产生的固废、危废，应当按相关管理规定处置，严禁排入公共排水设施</w:t>
            </w:r>
            <w:r>
              <w:rPr>
                <w:rFonts w:hint="eastAsia" w:ascii="Times New Roman" w:hAnsi="Times New Roman" w:eastAsia="仿宋_GB2312"/>
                <w:kern w:val="0"/>
                <w:sz w:val="20"/>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D2E86"/>
    <w:rsid w:val="6AFD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2020-11-09T02:09:00Z</dcterms:created>
  <dc:creator>HTH</dc:creator>
  <cp:lastModifiedBy>HTH</cp:lastModifiedBy>
  <dcterms:modified xsi:type="dcterms:W3CDTF">2020-11-09T02:10:32Z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