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70" w:lineRule="exact"/>
        <w:ind w:left="0" w:leftChars="0" w:firstLine="0" w:firstLineChars="0"/>
        <w:textAlignment w:val="auto"/>
        <w:outlineLvl w:val="9"/>
        <w:rPr>
          <w:rFonts w:hint="default" w:ascii="黑体" w:hAnsi="仿宋" w:eastAsia="黑体"/>
          <w:bCs/>
          <w:spacing w:val="0"/>
          <w:lang w:val="en-US" w:eastAsia="zh-CN"/>
        </w:rPr>
      </w:pPr>
      <w:r>
        <w:rPr>
          <w:rFonts w:hint="eastAsia" w:ascii="黑体" w:hAnsi="仿宋" w:eastAsia="黑体"/>
          <w:bCs/>
          <w:spacing w:val="0"/>
        </w:rPr>
        <w:t>附件1</w:t>
      </w:r>
    </w:p>
    <w:p>
      <w:pPr>
        <w:pStyle w:val="3"/>
        <w:rPr>
          <w:rFonts w:hint="eastAsia"/>
        </w:rPr>
      </w:pPr>
    </w:p>
    <w:p>
      <w:pPr>
        <w:keepNext w:val="0"/>
        <w:keepLines w:val="0"/>
        <w:pageBreakBefore w:val="0"/>
        <w:widowControl w:val="0"/>
        <w:kinsoku/>
        <w:wordWrap/>
        <w:overflowPunct/>
        <w:topLinePunct w:val="0"/>
        <w:autoSpaceDE/>
        <w:autoSpaceDN/>
        <w:bidi w:val="0"/>
        <w:snapToGrid w:val="0"/>
        <w:spacing w:line="570" w:lineRule="exact"/>
        <w:ind w:left="0" w:leftChars="0"/>
        <w:jc w:val="center"/>
        <w:textAlignment w:val="auto"/>
        <w:outlineLvl w:val="9"/>
        <w:rPr>
          <w:rFonts w:hint="eastAsia" w:ascii="方正小标宋简体" w:hAnsi="长城小标宋体" w:eastAsia="方正小标宋简体" w:cs="长城小标宋体"/>
          <w:bCs/>
          <w:sz w:val="44"/>
          <w:szCs w:val="44"/>
        </w:rPr>
      </w:pPr>
      <w:bookmarkStart w:id="0" w:name="_GoBack"/>
      <w:r>
        <w:rPr>
          <w:rFonts w:hint="eastAsia" w:ascii="方正小标宋简体" w:hAnsi="长城小标宋体" w:eastAsia="方正小标宋简体" w:cs="长城小标宋体"/>
          <w:bCs/>
          <w:sz w:val="44"/>
          <w:szCs w:val="44"/>
        </w:rPr>
        <w:t>增城区来穗人员</w:t>
      </w:r>
      <w:r>
        <w:rPr>
          <w:rFonts w:hint="eastAsia" w:ascii="方正小标宋简体" w:hAnsi="长城小标宋体" w:eastAsia="方正小标宋简体" w:cs="长城小标宋体"/>
          <w:bCs/>
          <w:sz w:val="44"/>
          <w:szCs w:val="44"/>
          <w:lang w:eastAsia="zh-CN"/>
        </w:rPr>
        <w:t>随迁子女</w:t>
      </w:r>
      <w:r>
        <w:rPr>
          <w:rFonts w:hint="eastAsia" w:ascii="方正小标宋简体" w:hAnsi="长城小标宋体" w:eastAsia="方正小标宋简体" w:cs="长城小标宋体"/>
          <w:bCs/>
          <w:sz w:val="44"/>
          <w:szCs w:val="44"/>
        </w:rPr>
        <w:t>积分</w:t>
      </w:r>
      <w:r>
        <w:rPr>
          <w:rFonts w:hint="eastAsia" w:ascii="方正小标宋简体" w:hAnsi="长城小标宋体" w:eastAsia="方正小标宋简体" w:cs="长城小标宋体"/>
          <w:bCs/>
          <w:sz w:val="44"/>
          <w:szCs w:val="44"/>
          <w:lang w:eastAsia="zh-CN"/>
        </w:rPr>
        <w:t>制</w:t>
      </w:r>
      <w:r>
        <w:rPr>
          <w:rFonts w:hint="eastAsia" w:ascii="方正小标宋简体" w:hAnsi="长城小标宋体" w:eastAsia="方正小标宋简体" w:cs="长城小标宋体"/>
          <w:bCs/>
          <w:sz w:val="44"/>
          <w:szCs w:val="44"/>
        </w:rPr>
        <w:t>入学</w:t>
      </w:r>
    </w:p>
    <w:p>
      <w:pPr>
        <w:keepNext w:val="0"/>
        <w:keepLines w:val="0"/>
        <w:pageBreakBefore w:val="0"/>
        <w:widowControl w:val="0"/>
        <w:kinsoku/>
        <w:wordWrap/>
        <w:overflowPunct/>
        <w:topLinePunct w:val="0"/>
        <w:autoSpaceDE/>
        <w:autoSpaceDN/>
        <w:bidi w:val="0"/>
        <w:snapToGrid w:val="0"/>
        <w:spacing w:line="570" w:lineRule="exact"/>
        <w:ind w:left="0" w:leftChars="0"/>
        <w:jc w:val="center"/>
        <w:textAlignment w:val="auto"/>
        <w:outlineLvl w:val="9"/>
        <w:rPr>
          <w:rFonts w:hint="default" w:ascii="方正小标宋简体" w:hAnsi="长城小标宋体" w:eastAsia="方正小标宋简体" w:cs="长城小标宋体"/>
          <w:bCs/>
          <w:sz w:val="44"/>
          <w:szCs w:val="44"/>
        </w:rPr>
      </w:pPr>
      <w:r>
        <w:rPr>
          <w:rFonts w:hint="eastAsia" w:ascii="方正小标宋简体" w:hAnsi="长城小标宋体" w:eastAsia="方正小标宋简体" w:cs="长城小标宋体"/>
          <w:bCs/>
          <w:sz w:val="44"/>
          <w:szCs w:val="44"/>
        </w:rPr>
        <w:t>指标体系及分值表</w:t>
      </w:r>
    </w:p>
    <w:bookmarkEnd w:id="0"/>
    <w:p>
      <w:pPr>
        <w:pStyle w:val="4"/>
        <w:widowControl/>
        <w:adjustRightInd w:val="0"/>
        <w:snapToGrid w:val="0"/>
        <w:spacing w:before="0" w:beforeAutospacing="0" w:after="0" w:afterAutospacing="0" w:line="560" w:lineRule="exact"/>
        <w:ind w:firstLine="484" w:firstLineChars="200"/>
        <w:jc w:val="both"/>
        <w:rPr>
          <w:rFonts w:hint="default" w:ascii="Times New Roman" w:hAnsi="Times New Roman" w:eastAsia="宋体" w:cs="Times New Roman"/>
          <w:sz w:val="21"/>
          <w:lang w:eastAsia="zh-CN"/>
        </w:rPr>
      </w:pPr>
      <w:r>
        <w:rPr>
          <w:rFonts w:hint="default" w:ascii="Times New Roman" w:hAnsi="Times New Roman" w:cs="Times New Roman"/>
          <w:sz w:val="21"/>
          <w:shd w:val="clear" w:color="auto" w:fill="FFFFFF"/>
          <w:lang w:eastAsia="zh-CN"/>
        </w:rPr>
        <w:t xml:space="preserve"> </w:t>
      </w:r>
    </w:p>
    <w:tbl>
      <w:tblPr>
        <w:tblStyle w:val="5"/>
        <w:tblW w:w="926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445"/>
        <w:gridCol w:w="445"/>
        <w:gridCol w:w="1432"/>
        <w:gridCol w:w="4015"/>
        <w:gridCol w:w="29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445"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ind w:firstLine="0" w:firstLineChars="0"/>
              <w:jc w:val="center"/>
              <w:textAlignment w:val="auto"/>
              <w:rPr>
                <w:rFonts w:hint="eastAsia" w:ascii="Times New Roman" w:hAnsi="Times New Roman" w:eastAsia="黑体" w:cs="Times New Roman"/>
                <w:sz w:val="28"/>
                <w:szCs w:val="28"/>
                <w:lang w:eastAsia="zh-CN"/>
              </w:rPr>
            </w:pPr>
            <w:r>
              <w:rPr>
                <w:rFonts w:hint="eastAsia" w:eastAsia="黑体" w:cs="Times New Roman"/>
                <w:sz w:val="28"/>
                <w:szCs w:val="28"/>
                <w:lang w:eastAsia="zh-CN"/>
              </w:rPr>
              <w:t>类别</w:t>
            </w:r>
          </w:p>
        </w:tc>
        <w:tc>
          <w:tcPr>
            <w:tcW w:w="445"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ind w:firstLine="0" w:firstLineChars="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1432"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ind w:firstLine="0" w:firstLineChars="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指标</w:t>
            </w:r>
          </w:p>
        </w:tc>
        <w:tc>
          <w:tcPr>
            <w:tcW w:w="4015"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ind w:firstLine="0" w:firstLineChars="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指标内容及分值</w:t>
            </w:r>
          </w:p>
        </w:tc>
        <w:tc>
          <w:tcPr>
            <w:tcW w:w="2925"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ind w:firstLine="0" w:firstLineChars="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445" w:type="dxa"/>
            <w:vMerge w:val="restart"/>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ascii="Times New Roman" w:hAnsi="Times New Roman" w:eastAsia="仿宋_GB2312" w:cs="Times New Roman"/>
                <w:sz w:val="28"/>
                <w:szCs w:val="28"/>
                <w:lang w:eastAsia="zh-CN"/>
              </w:rPr>
            </w:pPr>
            <w:r>
              <w:rPr>
                <w:rFonts w:hint="eastAsia" w:eastAsia="仿宋_GB2312" w:cs="Times New Roman"/>
                <w:sz w:val="28"/>
                <w:szCs w:val="28"/>
                <w:lang w:eastAsia="zh-CN"/>
              </w:rPr>
              <w:t>基础指标</w:t>
            </w:r>
          </w:p>
        </w:tc>
        <w:tc>
          <w:tcPr>
            <w:tcW w:w="445"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1432"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合法稳定住所</w:t>
            </w:r>
          </w:p>
        </w:tc>
        <w:tc>
          <w:tcPr>
            <w:tcW w:w="4015" w:type="dxa"/>
            <w:tcBorders>
              <w:tl2br w:val="nil"/>
              <w:tr2bl w:val="nil"/>
            </w:tcBorders>
            <w:noWrap w:val="0"/>
            <w:tcMar>
              <w:left w:w="108" w:type="dxa"/>
              <w:right w:w="108" w:type="dxa"/>
            </w:tcMar>
            <w:vAlign w:val="center"/>
          </w:tcPr>
          <w:p>
            <w:pPr>
              <w:pStyle w:val="4"/>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00" w:lineRule="exact"/>
              <w:ind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在广州市办理《广东省居住证》，每满1年计8分；</w:t>
            </w:r>
          </w:p>
          <w:p>
            <w:pPr>
              <w:pStyle w:val="4"/>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00" w:lineRule="exact"/>
              <w:ind w:left="0" w:leftChars="0"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在广州市</w:t>
            </w:r>
            <w:r>
              <w:rPr>
                <w:rFonts w:hint="eastAsia" w:eastAsia="仿宋_GB2312" w:cs="Times New Roman"/>
                <w:sz w:val="28"/>
                <w:szCs w:val="28"/>
                <w:lang w:eastAsia="zh-CN"/>
              </w:rPr>
              <w:t>累计</w:t>
            </w:r>
            <w:r>
              <w:rPr>
                <w:rFonts w:hint="default" w:ascii="Times New Roman" w:hAnsi="Times New Roman" w:eastAsia="仿宋_GB2312" w:cs="Times New Roman"/>
                <w:sz w:val="28"/>
                <w:szCs w:val="28"/>
              </w:rPr>
              <w:t>居住年限：</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ind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（1）合法产权住所（20分）；</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ind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（2）合法租赁住所或单位宿舍，每满1年计5分，最高不超过20分。</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ind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申请人居住地由越秀区、海珠区、荔湾区、天河区转移到本市其他行政区的，每满1年计2分，最高不超过10分。</w:t>
            </w:r>
          </w:p>
        </w:tc>
        <w:tc>
          <w:tcPr>
            <w:tcW w:w="2925"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ind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既有合法产权住房、又有合法租赁住房的，由申请人选择其中一项计分。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445" w:type="dxa"/>
            <w:vMerge w:val="continue"/>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tc>
        <w:tc>
          <w:tcPr>
            <w:tcW w:w="445"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1432"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合法稳定就业</w:t>
            </w:r>
          </w:p>
        </w:tc>
        <w:tc>
          <w:tcPr>
            <w:tcW w:w="4015"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ind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在广州市就业（创业）并参加城镇基本养老保险、社会医疗保险（含职工社会医疗保险及城乡居民医疗保险）、失业保险、工伤保险、生育保险，每个险种每满1年计2分。在广州市就业（创业）并缴</w:t>
            </w:r>
            <w:r>
              <w:rPr>
                <w:rFonts w:hint="eastAsia" w:eastAsia="仿宋_GB2312" w:cs="Times New Roman"/>
                <w:sz w:val="28"/>
                <w:szCs w:val="28"/>
                <w:lang w:eastAsia="zh-CN"/>
              </w:rPr>
              <w:t>存</w:t>
            </w:r>
            <w:r>
              <w:rPr>
                <w:rFonts w:hint="default" w:ascii="Times New Roman" w:hAnsi="Times New Roman" w:eastAsia="仿宋_GB2312" w:cs="Times New Roman"/>
                <w:sz w:val="28"/>
                <w:szCs w:val="28"/>
              </w:rPr>
              <w:t>住房公积金，每满1年计2分。</w:t>
            </w:r>
          </w:p>
        </w:tc>
        <w:tc>
          <w:tcPr>
            <w:tcW w:w="2925"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ind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失业保险基金代缴的职工社会医疗保险缴费年限及外来工医保年限纳入医保累计缴费时间。外地转入社保、补缴社保不计算年限，重复参保期间不重复计算年限。异地转入住房公积金、补缴住房公积金不计算年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67" w:hRule="atLeast"/>
          <w:jc w:val="center"/>
        </w:trPr>
        <w:tc>
          <w:tcPr>
            <w:tcW w:w="445" w:type="dxa"/>
            <w:vMerge w:val="continue"/>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tc>
        <w:tc>
          <w:tcPr>
            <w:tcW w:w="445"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1432"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年龄</w:t>
            </w:r>
          </w:p>
        </w:tc>
        <w:tc>
          <w:tcPr>
            <w:tcW w:w="4015" w:type="dxa"/>
            <w:tcBorders>
              <w:tl2br w:val="nil"/>
              <w:tr2bl w:val="nil"/>
            </w:tcBorders>
            <w:noWrap w:val="0"/>
            <w:tcMar>
              <w:left w:w="108" w:type="dxa"/>
              <w:right w:w="108" w:type="dxa"/>
            </w:tcMar>
            <w:vAlign w:val="center"/>
          </w:tcPr>
          <w:p>
            <w:pPr>
              <w:pStyle w:val="4"/>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0" w:afterAutospacing="0" w:line="300" w:lineRule="exact"/>
              <w:ind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18—40周岁（含40周岁）（30分）；</w:t>
            </w:r>
          </w:p>
          <w:p>
            <w:pPr>
              <w:pStyle w:val="4"/>
              <w:keepNext w:val="0"/>
              <w:keepLines w:val="0"/>
              <w:pageBreakBefore w:val="0"/>
              <w:widowControl/>
              <w:numPr>
                <w:ilvl w:val="0"/>
                <w:numId w:val="2"/>
              </w:numPr>
              <w:kinsoku/>
              <w:wordWrap/>
              <w:overflowPunct/>
              <w:topLinePunct w:val="0"/>
              <w:autoSpaceDE/>
              <w:autoSpaceDN/>
              <w:bidi w:val="0"/>
              <w:adjustRightInd w:val="0"/>
              <w:snapToGrid w:val="0"/>
              <w:spacing w:before="0" w:beforeAutospacing="0" w:after="0" w:afterAutospacing="0" w:line="300" w:lineRule="exact"/>
              <w:ind w:left="0" w:leftChars="0"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40周岁以上的，每增加一岁（含不满一岁）少加2分</w:t>
            </w:r>
            <w:r>
              <w:rPr>
                <w:rFonts w:hint="default" w:ascii="Times New Roman" w:hAnsi="Times New Roman" w:eastAsia="仿宋_GB2312" w:cs="Times New Roman"/>
                <w:sz w:val="28"/>
                <w:szCs w:val="28"/>
              </w:rPr>
              <w:t>。</w:t>
            </w:r>
          </w:p>
        </w:tc>
        <w:tc>
          <w:tcPr>
            <w:tcW w:w="2925"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ind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动态调整，最低为0分。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22" w:hRule="atLeast"/>
          <w:jc w:val="center"/>
        </w:trPr>
        <w:tc>
          <w:tcPr>
            <w:tcW w:w="445" w:type="dxa"/>
            <w:vMerge w:val="restart"/>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r>
              <w:rPr>
                <w:rFonts w:hint="eastAsia" w:eastAsia="仿宋_GB2312" w:cs="Times New Roman"/>
                <w:sz w:val="28"/>
                <w:szCs w:val="28"/>
                <w:lang w:eastAsia="zh-CN"/>
              </w:rPr>
              <w:t>加分指标</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r>
              <w:rPr>
                <w:rFonts w:hint="eastAsia" w:eastAsia="仿宋_GB2312" w:cs="Times New Roman"/>
                <w:sz w:val="28"/>
                <w:szCs w:val="28"/>
                <w:lang w:eastAsia="zh-CN"/>
              </w:rPr>
              <w:t>加分指标</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eastAsia="仿宋_GB2312" w:cs="Times New Roman"/>
                <w:sz w:val="28"/>
                <w:szCs w:val="28"/>
                <w:lang w:eastAsia="zh-CN"/>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both"/>
              <w:textAlignment w:val="auto"/>
              <w:rPr>
                <w:rFonts w:hint="eastAsia" w:eastAsia="仿宋_GB2312" w:cs="Times New Roman"/>
                <w:sz w:val="28"/>
                <w:szCs w:val="28"/>
                <w:lang w:eastAsia="zh-CN"/>
              </w:rPr>
            </w:pPr>
            <w:r>
              <w:rPr>
                <w:rFonts w:hint="eastAsia" w:eastAsia="仿宋_GB2312" w:cs="Times New Roman"/>
                <w:sz w:val="28"/>
                <w:szCs w:val="28"/>
                <w:lang w:eastAsia="zh-CN"/>
              </w:rPr>
              <w:t>加分指标</w:t>
            </w:r>
          </w:p>
        </w:tc>
        <w:tc>
          <w:tcPr>
            <w:tcW w:w="445"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1432"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文化程度</w:t>
            </w:r>
          </w:p>
        </w:tc>
        <w:tc>
          <w:tcPr>
            <w:tcW w:w="4015" w:type="dxa"/>
            <w:tcBorders>
              <w:tl2br w:val="nil"/>
              <w:tr2bl w:val="nil"/>
            </w:tcBorders>
            <w:noWrap w:val="0"/>
            <w:tcMar>
              <w:left w:w="108" w:type="dxa"/>
              <w:right w:w="108" w:type="dxa"/>
            </w:tcMar>
            <w:vAlign w:val="center"/>
          </w:tcPr>
          <w:p>
            <w:pPr>
              <w:pStyle w:val="4"/>
              <w:keepNext w:val="0"/>
              <w:keepLines w:val="0"/>
              <w:pageBreakBefore w:val="0"/>
              <w:widowControl/>
              <w:numPr>
                <w:ilvl w:val="0"/>
                <w:numId w:val="3"/>
              </w:numPr>
              <w:kinsoku/>
              <w:wordWrap/>
              <w:overflowPunct/>
              <w:topLinePunct w:val="0"/>
              <w:autoSpaceDE/>
              <w:autoSpaceDN/>
              <w:bidi w:val="0"/>
              <w:adjustRightInd w:val="0"/>
              <w:snapToGrid w:val="0"/>
              <w:spacing w:before="0" w:beforeAutospacing="0" w:after="0" w:afterAutospacing="0" w:line="300" w:lineRule="exact"/>
              <w:ind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本科及以上学历（30分）；</w:t>
            </w:r>
          </w:p>
          <w:p>
            <w:pPr>
              <w:pStyle w:val="4"/>
              <w:keepNext w:val="0"/>
              <w:keepLines w:val="0"/>
              <w:pageBreakBefore w:val="0"/>
              <w:widowControl/>
              <w:numPr>
                <w:ilvl w:val="0"/>
                <w:numId w:val="3"/>
              </w:numPr>
              <w:kinsoku/>
              <w:wordWrap/>
              <w:overflowPunct/>
              <w:topLinePunct w:val="0"/>
              <w:autoSpaceDE/>
              <w:autoSpaceDN/>
              <w:bidi w:val="0"/>
              <w:adjustRightInd w:val="0"/>
              <w:snapToGrid w:val="0"/>
              <w:spacing w:before="0" w:beforeAutospacing="0" w:after="0" w:afterAutospacing="0" w:line="300" w:lineRule="exact"/>
              <w:ind w:left="0" w:leftChars="0"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专科（含高职）（20分）；</w:t>
            </w:r>
          </w:p>
          <w:p>
            <w:pPr>
              <w:pStyle w:val="4"/>
              <w:keepNext w:val="0"/>
              <w:keepLines w:val="0"/>
              <w:pageBreakBefore w:val="0"/>
              <w:widowControl/>
              <w:numPr>
                <w:ilvl w:val="0"/>
                <w:numId w:val="3"/>
              </w:numPr>
              <w:kinsoku/>
              <w:wordWrap/>
              <w:overflowPunct/>
              <w:topLinePunct w:val="0"/>
              <w:autoSpaceDE/>
              <w:autoSpaceDN/>
              <w:bidi w:val="0"/>
              <w:adjustRightInd w:val="0"/>
              <w:snapToGrid w:val="0"/>
              <w:spacing w:before="0" w:beforeAutospacing="0" w:after="0" w:afterAutospacing="0" w:line="300" w:lineRule="exact"/>
              <w:ind w:left="0" w:leftChars="0"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高中（含中职）（10分）。</w:t>
            </w:r>
          </w:p>
        </w:tc>
        <w:tc>
          <w:tcPr>
            <w:tcW w:w="2925"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ind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只取最高分，不累计计分。高中以下学历不计分。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445" w:type="dxa"/>
            <w:vMerge w:val="continue"/>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tc>
        <w:tc>
          <w:tcPr>
            <w:tcW w:w="445"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1432"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技术能力</w:t>
            </w:r>
          </w:p>
        </w:tc>
        <w:tc>
          <w:tcPr>
            <w:tcW w:w="4015" w:type="dxa"/>
            <w:tcBorders>
              <w:tl2br w:val="nil"/>
              <w:tr2bl w:val="nil"/>
            </w:tcBorders>
            <w:noWrap w:val="0"/>
            <w:tcMar>
              <w:left w:w="108" w:type="dxa"/>
              <w:right w:w="108" w:type="dxa"/>
            </w:tcMar>
            <w:vAlign w:val="center"/>
          </w:tcPr>
          <w:p>
            <w:pPr>
              <w:pStyle w:val="4"/>
              <w:keepNext w:val="0"/>
              <w:keepLines w:val="0"/>
              <w:pageBreakBefore w:val="0"/>
              <w:widowControl/>
              <w:numPr>
                <w:ilvl w:val="0"/>
                <w:numId w:val="4"/>
              </w:numPr>
              <w:kinsoku/>
              <w:wordWrap/>
              <w:overflowPunct/>
              <w:topLinePunct w:val="0"/>
              <w:autoSpaceDE/>
              <w:autoSpaceDN/>
              <w:bidi w:val="0"/>
              <w:adjustRightInd w:val="0"/>
              <w:snapToGrid w:val="0"/>
              <w:spacing w:before="0" w:beforeAutospacing="0" w:after="0" w:afterAutospacing="0" w:line="300" w:lineRule="exact"/>
              <w:ind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中级及以上职称或技师及以上职业资格（20分）；</w:t>
            </w:r>
          </w:p>
          <w:p>
            <w:pPr>
              <w:pStyle w:val="4"/>
              <w:keepNext w:val="0"/>
              <w:keepLines w:val="0"/>
              <w:pageBreakBefore w:val="0"/>
              <w:widowControl/>
              <w:numPr>
                <w:ilvl w:val="0"/>
                <w:numId w:val="4"/>
              </w:numPr>
              <w:kinsoku/>
              <w:wordWrap/>
              <w:overflowPunct/>
              <w:topLinePunct w:val="0"/>
              <w:autoSpaceDE/>
              <w:autoSpaceDN/>
              <w:bidi w:val="0"/>
              <w:adjustRightInd w:val="0"/>
              <w:snapToGrid w:val="0"/>
              <w:spacing w:before="0" w:beforeAutospacing="0" w:after="0" w:afterAutospacing="0" w:line="300" w:lineRule="exact"/>
              <w:ind w:left="0" w:leftChars="0"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初级职称、职业资格为高级、事业单位工勤技术三级（10分）；</w:t>
            </w:r>
          </w:p>
          <w:p>
            <w:pPr>
              <w:pStyle w:val="4"/>
              <w:keepNext w:val="0"/>
              <w:keepLines w:val="0"/>
              <w:pageBreakBefore w:val="0"/>
              <w:widowControl/>
              <w:numPr>
                <w:ilvl w:val="0"/>
                <w:numId w:val="4"/>
              </w:numPr>
              <w:kinsoku/>
              <w:wordWrap/>
              <w:overflowPunct/>
              <w:topLinePunct w:val="0"/>
              <w:autoSpaceDE/>
              <w:autoSpaceDN/>
              <w:bidi w:val="0"/>
              <w:adjustRightInd w:val="0"/>
              <w:snapToGrid w:val="0"/>
              <w:spacing w:before="0" w:beforeAutospacing="0" w:after="0" w:afterAutospacing="0" w:line="300" w:lineRule="exact"/>
              <w:ind w:left="0" w:leftChars="0"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职业资格中级、事业单位工勤技术四级（5分）；</w:t>
            </w:r>
          </w:p>
          <w:p>
            <w:pPr>
              <w:pStyle w:val="4"/>
              <w:keepNext w:val="0"/>
              <w:keepLines w:val="0"/>
              <w:pageBreakBefore w:val="0"/>
              <w:widowControl/>
              <w:numPr>
                <w:ilvl w:val="0"/>
                <w:numId w:val="4"/>
              </w:numPr>
              <w:kinsoku/>
              <w:wordWrap/>
              <w:overflowPunct/>
              <w:topLinePunct w:val="0"/>
              <w:autoSpaceDE/>
              <w:autoSpaceDN/>
              <w:bidi w:val="0"/>
              <w:adjustRightInd w:val="0"/>
              <w:snapToGrid w:val="0"/>
              <w:spacing w:before="0" w:beforeAutospacing="0" w:after="0" w:afterAutospacing="0" w:line="300" w:lineRule="exact"/>
              <w:ind w:left="0" w:leftChars="0"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正在从事与上述专业技术资格证书、职业资格证书相对应职业工种工作（5分）。</w:t>
            </w:r>
          </w:p>
        </w:tc>
        <w:tc>
          <w:tcPr>
            <w:tcW w:w="2925"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ind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职业资格包括职业技能等级，是指获得国家、广东省、广州市人力资源和社会保障部门</w:t>
            </w:r>
            <w:r>
              <w:rPr>
                <w:rFonts w:hint="eastAsia" w:eastAsia="仿宋_GB2312" w:cs="Times New Roman"/>
                <w:sz w:val="28"/>
                <w:szCs w:val="28"/>
                <w:lang w:eastAsia="zh-CN"/>
              </w:rPr>
              <w:t>认可</w:t>
            </w:r>
            <w:r>
              <w:rPr>
                <w:rFonts w:hint="default" w:ascii="Times New Roman" w:hAnsi="Times New Roman" w:eastAsia="仿宋_GB2312" w:cs="Times New Roman"/>
                <w:sz w:val="28"/>
                <w:szCs w:val="28"/>
              </w:rPr>
              <w:t>的国家职业资格。只取最高分，不累计计分。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70" w:hRule="atLeast"/>
          <w:jc w:val="center"/>
        </w:trPr>
        <w:tc>
          <w:tcPr>
            <w:tcW w:w="445" w:type="dxa"/>
            <w:vMerge w:val="continue"/>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eastAsia" w:ascii="Times New Roman" w:hAnsi="Times New Roman" w:eastAsia="仿宋_GB2312" w:cs="Times New Roman"/>
                <w:sz w:val="28"/>
                <w:szCs w:val="28"/>
                <w:lang w:eastAsia="zh-CN"/>
              </w:rPr>
            </w:pPr>
          </w:p>
        </w:tc>
        <w:tc>
          <w:tcPr>
            <w:tcW w:w="445"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1432"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创新能力</w:t>
            </w:r>
          </w:p>
        </w:tc>
        <w:tc>
          <w:tcPr>
            <w:tcW w:w="4015" w:type="dxa"/>
            <w:tcBorders>
              <w:tl2br w:val="nil"/>
              <w:tr2bl w:val="nil"/>
            </w:tcBorders>
            <w:noWrap w:val="0"/>
            <w:tcMar>
              <w:left w:w="108" w:type="dxa"/>
              <w:right w:w="108" w:type="dxa"/>
            </w:tcMar>
            <w:vAlign w:val="center"/>
          </w:tcPr>
          <w:p>
            <w:pPr>
              <w:pStyle w:val="4"/>
              <w:keepNext w:val="0"/>
              <w:keepLines w:val="0"/>
              <w:pageBreakBefore w:val="0"/>
              <w:widowControl/>
              <w:numPr>
                <w:ilvl w:val="0"/>
                <w:numId w:val="5"/>
              </w:numPr>
              <w:kinsoku/>
              <w:wordWrap/>
              <w:overflowPunct/>
              <w:topLinePunct w:val="0"/>
              <w:autoSpaceDE/>
              <w:autoSpaceDN/>
              <w:bidi w:val="0"/>
              <w:adjustRightInd w:val="0"/>
              <w:snapToGrid w:val="0"/>
              <w:spacing w:before="0" w:beforeAutospacing="0" w:after="0" w:afterAutospacing="0" w:line="300" w:lineRule="exact"/>
              <w:ind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近5年获得授权的有效专利且授权时的地址为广州市辖区的专利发明人或者设计人，按以下标准给予计分：</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ind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属发明专利的，每项专利按20/（人数）计算。最高不超过40分。</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ind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属实用新型专利的，每项专利按10/（人数）计算。最高不超过20分。</w:t>
            </w:r>
          </w:p>
          <w:p>
            <w:pPr>
              <w:pStyle w:val="4"/>
              <w:keepNext w:val="0"/>
              <w:keepLines w:val="0"/>
              <w:pageBreakBefore w:val="0"/>
              <w:widowControl/>
              <w:numPr>
                <w:ilvl w:val="0"/>
                <w:numId w:val="5"/>
              </w:numPr>
              <w:kinsoku/>
              <w:wordWrap/>
              <w:overflowPunct/>
              <w:topLinePunct w:val="0"/>
              <w:autoSpaceDE/>
              <w:autoSpaceDN/>
              <w:bidi w:val="0"/>
              <w:adjustRightInd w:val="0"/>
              <w:snapToGrid w:val="0"/>
              <w:spacing w:before="0" w:beforeAutospacing="0" w:after="0" w:afterAutospacing="0" w:line="300" w:lineRule="exact"/>
              <w:ind w:left="0" w:leftChars="0" w:right="0" w:rightChars="0"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在广州市高新技术企业、新型研发机构从事技术创新和研发的申请人，工作每满1年计2分，最高不超过10分。</w:t>
            </w:r>
          </w:p>
        </w:tc>
        <w:tc>
          <w:tcPr>
            <w:tcW w:w="2925"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ind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专利授权后，专利发明人或设计人发生变更的，不予积分；专利地址变更到非广州市辖区内的，不予积分。对同时满足1和2两项条件的，可以累计计分。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05" w:hRule="atLeast"/>
          <w:jc w:val="center"/>
        </w:trPr>
        <w:tc>
          <w:tcPr>
            <w:tcW w:w="445" w:type="dxa"/>
            <w:vMerge w:val="continue"/>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tc>
        <w:tc>
          <w:tcPr>
            <w:tcW w:w="445"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1432"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急需工种或职业资格（职业技能等级）、服务行业</w:t>
            </w:r>
          </w:p>
        </w:tc>
        <w:tc>
          <w:tcPr>
            <w:tcW w:w="4015" w:type="dxa"/>
            <w:tcBorders>
              <w:tl2br w:val="nil"/>
              <w:tr2bl w:val="nil"/>
            </w:tcBorders>
            <w:noWrap w:val="0"/>
            <w:tcMar>
              <w:left w:w="108" w:type="dxa"/>
              <w:right w:w="108" w:type="dxa"/>
            </w:tcMar>
            <w:vAlign w:val="center"/>
          </w:tcPr>
          <w:p>
            <w:pPr>
              <w:pStyle w:val="4"/>
              <w:keepNext w:val="0"/>
              <w:keepLines w:val="0"/>
              <w:pageBreakBefore w:val="0"/>
              <w:widowControl/>
              <w:numPr>
                <w:ilvl w:val="0"/>
                <w:numId w:val="6"/>
              </w:numPr>
              <w:kinsoku/>
              <w:wordWrap/>
              <w:overflowPunct/>
              <w:topLinePunct w:val="0"/>
              <w:autoSpaceDE/>
              <w:autoSpaceDN/>
              <w:bidi w:val="0"/>
              <w:adjustRightInd w:val="0"/>
              <w:snapToGrid w:val="0"/>
              <w:spacing w:before="0" w:beforeAutospacing="0" w:after="0" w:afterAutospacing="0" w:line="300" w:lineRule="exact"/>
              <w:ind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职业工种或职业资格符合当年广州市积分急需工种或职业资格目录（10分）；</w:t>
            </w:r>
          </w:p>
          <w:p>
            <w:pPr>
              <w:pStyle w:val="4"/>
              <w:keepNext w:val="0"/>
              <w:keepLines w:val="0"/>
              <w:pageBreakBefore w:val="0"/>
              <w:widowControl/>
              <w:numPr>
                <w:ilvl w:val="0"/>
                <w:numId w:val="6"/>
              </w:numPr>
              <w:kinsoku/>
              <w:wordWrap/>
              <w:overflowPunct/>
              <w:topLinePunct w:val="0"/>
              <w:autoSpaceDE/>
              <w:autoSpaceDN/>
              <w:bidi w:val="0"/>
              <w:adjustRightInd w:val="0"/>
              <w:snapToGrid w:val="0"/>
              <w:spacing w:before="0" w:beforeAutospacing="0" w:after="0" w:afterAutospacing="0" w:line="300" w:lineRule="exact"/>
              <w:ind w:left="0" w:leftChars="0"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现正从事特殊艰苦行业一线人员（10分）。工作每满1年再加5分，最高再加分不超过20分。</w:t>
            </w:r>
          </w:p>
        </w:tc>
        <w:tc>
          <w:tcPr>
            <w:tcW w:w="2925"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ind w:firstLine="624"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986" w:hRule="atLeast"/>
          <w:jc w:val="center"/>
        </w:trPr>
        <w:tc>
          <w:tcPr>
            <w:tcW w:w="445" w:type="dxa"/>
            <w:vMerge w:val="continue"/>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tc>
        <w:tc>
          <w:tcPr>
            <w:tcW w:w="445"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1432"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社会服务和公益</w:t>
            </w:r>
          </w:p>
        </w:tc>
        <w:tc>
          <w:tcPr>
            <w:tcW w:w="4015" w:type="dxa"/>
            <w:tcBorders>
              <w:tl2br w:val="nil"/>
              <w:tr2bl w:val="nil"/>
            </w:tcBorders>
            <w:noWrap w:val="0"/>
            <w:tcMar>
              <w:left w:w="108" w:type="dxa"/>
              <w:right w:w="108" w:type="dxa"/>
            </w:tcMar>
            <w:vAlign w:val="center"/>
          </w:tcPr>
          <w:p>
            <w:pPr>
              <w:pStyle w:val="4"/>
              <w:keepNext w:val="0"/>
              <w:keepLines w:val="0"/>
              <w:pageBreakBefore w:val="0"/>
              <w:widowControl/>
              <w:numPr>
                <w:ilvl w:val="0"/>
                <w:numId w:val="7"/>
              </w:numPr>
              <w:kinsoku/>
              <w:wordWrap/>
              <w:overflowPunct/>
              <w:topLinePunct w:val="0"/>
              <w:autoSpaceDE/>
              <w:autoSpaceDN/>
              <w:bidi w:val="0"/>
              <w:adjustRightInd w:val="0"/>
              <w:snapToGrid w:val="0"/>
              <w:spacing w:before="0" w:beforeAutospacing="0" w:after="0" w:afterAutospacing="0" w:line="300" w:lineRule="exact"/>
              <w:ind w:right="0" w:rightChars="0"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近5年内，参加献血（每次计2分），单项累计最高不超过10分。</w:t>
            </w:r>
          </w:p>
          <w:p>
            <w:pPr>
              <w:pStyle w:val="4"/>
              <w:keepNext w:val="0"/>
              <w:keepLines w:val="0"/>
              <w:pageBreakBefore w:val="0"/>
              <w:widowControl/>
              <w:numPr>
                <w:ilvl w:val="0"/>
                <w:numId w:val="7"/>
              </w:numPr>
              <w:kinsoku/>
              <w:wordWrap/>
              <w:overflowPunct/>
              <w:topLinePunct w:val="0"/>
              <w:autoSpaceDE/>
              <w:autoSpaceDN/>
              <w:bidi w:val="0"/>
              <w:adjustRightInd w:val="0"/>
              <w:snapToGrid w:val="0"/>
              <w:spacing w:before="0" w:beforeAutospacing="0" w:after="0" w:afterAutospacing="0" w:line="300" w:lineRule="exact"/>
              <w:ind w:left="0" w:leftChars="0" w:right="0" w:rightChars="0"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近5年内，参加志愿者（义工）服务（每满50小时计2分）。1年内计分不超过2分，单项累计最高不超过10分。</w:t>
            </w:r>
          </w:p>
        </w:tc>
        <w:tc>
          <w:tcPr>
            <w:tcW w:w="2925"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ind w:firstLine="624"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5" w:hRule="atLeast"/>
          <w:jc w:val="center"/>
        </w:trPr>
        <w:tc>
          <w:tcPr>
            <w:tcW w:w="445" w:type="dxa"/>
            <w:vMerge w:val="continue"/>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both"/>
              <w:textAlignment w:val="auto"/>
              <w:rPr>
                <w:rFonts w:hint="eastAsia" w:eastAsia="仿宋_GB2312" w:cs="Times New Roman"/>
                <w:sz w:val="28"/>
                <w:szCs w:val="28"/>
                <w:lang w:eastAsia="zh-CN"/>
              </w:rPr>
            </w:pPr>
          </w:p>
        </w:tc>
        <w:tc>
          <w:tcPr>
            <w:tcW w:w="445"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p>
        </w:tc>
        <w:tc>
          <w:tcPr>
            <w:tcW w:w="1432"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纳税情况</w:t>
            </w:r>
          </w:p>
        </w:tc>
        <w:tc>
          <w:tcPr>
            <w:tcW w:w="4015" w:type="dxa"/>
            <w:tcBorders>
              <w:tl2br w:val="nil"/>
              <w:tr2bl w:val="nil"/>
            </w:tcBorders>
            <w:noWrap w:val="0"/>
            <w:tcMar>
              <w:left w:w="108" w:type="dxa"/>
              <w:right w:w="108" w:type="dxa"/>
            </w:tcMar>
            <w:vAlign w:val="center"/>
          </w:tcPr>
          <w:p>
            <w:pPr>
              <w:pStyle w:val="4"/>
              <w:keepNext w:val="0"/>
              <w:keepLines w:val="0"/>
              <w:pageBreakBefore w:val="0"/>
              <w:widowControl/>
              <w:numPr>
                <w:ilvl w:val="0"/>
                <w:numId w:val="8"/>
              </w:numPr>
              <w:kinsoku/>
              <w:wordWrap/>
              <w:overflowPunct/>
              <w:topLinePunct w:val="0"/>
              <w:autoSpaceDE/>
              <w:autoSpaceDN/>
              <w:bidi w:val="0"/>
              <w:adjustRightInd w:val="0"/>
              <w:snapToGrid w:val="0"/>
              <w:spacing w:before="0" w:beforeAutospacing="0" w:after="0" w:afterAutospacing="0" w:line="300" w:lineRule="exact"/>
              <w:ind w:left="0" w:leftChars="0" w:right="0" w:rightChars="0" w:firstLine="624"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对普通劳动者，申报缴纳个人所得税：（1）近3个纳税年度</w:t>
            </w:r>
            <w:r>
              <w:rPr>
                <w:rFonts w:hint="eastAsia" w:ascii="Times New Roman" w:hAnsi="Times New Roman" w:eastAsia="仿宋_GB2312" w:cs="Times New Roman"/>
                <w:sz w:val="28"/>
                <w:szCs w:val="28"/>
                <w:lang w:val="en-US" w:eastAsia="zh-CN"/>
              </w:rPr>
              <w:t>累计</w:t>
            </w:r>
            <w:r>
              <w:rPr>
                <w:rFonts w:hint="default" w:ascii="Times New Roman" w:hAnsi="Times New Roman" w:eastAsia="仿宋_GB2312" w:cs="Times New Roman"/>
                <w:sz w:val="28"/>
                <w:szCs w:val="28"/>
                <w:lang w:val="en-US" w:eastAsia="zh-CN"/>
              </w:rPr>
              <w:t>在广州市缴纳个人所得税：1万—3万元（含1万元，不含3万元）（4分）；3万—6万元（含3万元，不含6万元）（8分）；6万元以上（含6万元）（12分）。</w:t>
            </w:r>
          </w:p>
          <w:p>
            <w:pPr>
              <w:pStyle w:val="4"/>
              <w:keepNext w:val="0"/>
              <w:keepLines w:val="0"/>
              <w:pageBreakBefore w:val="0"/>
              <w:widowControl/>
              <w:numPr>
                <w:ilvl w:val="0"/>
                <w:numId w:val="9"/>
              </w:numPr>
              <w:kinsoku/>
              <w:wordWrap/>
              <w:overflowPunct/>
              <w:topLinePunct w:val="0"/>
              <w:autoSpaceDE/>
              <w:autoSpaceDN/>
              <w:bidi w:val="0"/>
              <w:adjustRightInd w:val="0"/>
              <w:snapToGrid w:val="0"/>
              <w:spacing w:before="0" w:beforeAutospacing="0" w:after="0" w:afterAutospacing="0" w:line="300" w:lineRule="exact"/>
              <w:ind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近3个纳税年度连续每1年均在广州市申报缴纳综合所得（包括工资薪金所得、劳务报酬所得、稿酬所得，特许权使用费所得）或者经营所得的个人所得税（4分）。</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ind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（3）近1个纳税年度按规定办理个人所得税年度汇算清缴申报（含清缴税款）（2分）。</w:t>
            </w:r>
          </w:p>
          <w:p>
            <w:pPr>
              <w:pStyle w:val="4"/>
              <w:keepNext w:val="0"/>
              <w:keepLines w:val="0"/>
              <w:pageBreakBefore w:val="0"/>
              <w:widowControl/>
              <w:numPr>
                <w:ilvl w:val="0"/>
                <w:numId w:val="10"/>
              </w:numPr>
              <w:kinsoku/>
              <w:wordWrap/>
              <w:overflowPunct/>
              <w:topLinePunct w:val="0"/>
              <w:autoSpaceDE/>
              <w:autoSpaceDN/>
              <w:bidi w:val="0"/>
              <w:adjustRightInd w:val="0"/>
              <w:snapToGrid w:val="0"/>
              <w:spacing w:before="0" w:beforeAutospacing="0" w:after="0" w:afterAutospacing="0" w:line="300" w:lineRule="exact"/>
              <w:ind w:left="0" w:leftChars="0" w:right="0" w:rightChars="0"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所投资创办的企业，近3个纳税年度</w:t>
            </w:r>
            <w:r>
              <w:rPr>
                <w:rFonts w:hint="eastAsia" w:eastAsia="仿宋_GB2312" w:cs="Times New Roman"/>
                <w:sz w:val="28"/>
                <w:szCs w:val="28"/>
                <w:lang w:eastAsia="zh-CN"/>
              </w:rPr>
              <w:t>累计</w:t>
            </w:r>
            <w:r>
              <w:rPr>
                <w:rFonts w:hint="default" w:ascii="Times New Roman" w:hAnsi="Times New Roman" w:eastAsia="仿宋_GB2312" w:cs="Times New Roman"/>
                <w:sz w:val="28"/>
                <w:szCs w:val="28"/>
              </w:rPr>
              <w:t>在广州市纳税：</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ind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w:t>
            </w:r>
            <w:r>
              <w:rPr>
                <w:rFonts w:hint="default" w:ascii="Times New Roman" w:hAnsi="Times New Roman" w:eastAsia="仿宋_GB2312" w:cs="Times New Roman"/>
                <w:sz w:val="28"/>
                <w:szCs w:val="28"/>
                <w:lang w:val="en-US" w:eastAsia="zh-CN"/>
              </w:rPr>
              <w:t>万</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10万元（含5万元，不含10万元）（4分）；</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ind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（2）10</w:t>
            </w:r>
            <w:r>
              <w:rPr>
                <w:rFonts w:hint="default" w:ascii="Times New Roman" w:hAnsi="Times New Roman" w:eastAsia="仿宋_GB2312" w:cs="Times New Roman"/>
                <w:sz w:val="28"/>
                <w:szCs w:val="28"/>
                <w:lang w:val="en-US" w:eastAsia="zh-CN"/>
              </w:rPr>
              <w:t>万</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20万元（含10万元，不含20万元）（8分）；</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ind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（3）20万元以上（含20万元）（12分）。</w:t>
            </w:r>
          </w:p>
        </w:tc>
        <w:tc>
          <w:tcPr>
            <w:tcW w:w="2925" w:type="dxa"/>
            <w:tcBorders>
              <w:tl2br w:val="nil"/>
              <w:tr2bl w:val="nil"/>
            </w:tcBorders>
            <w:noWrap w:val="0"/>
            <w:tcMar>
              <w:left w:w="108" w:type="dxa"/>
              <w:right w:w="108" w:type="dxa"/>
            </w:tcMar>
            <w:vAlign w:val="center"/>
          </w:tcPr>
          <w:p>
            <w:pPr>
              <w:pStyle w:val="4"/>
              <w:keepNext w:val="0"/>
              <w:keepLines w:val="0"/>
              <w:pageBreakBefore w:val="0"/>
              <w:widowControl/>
              <w:numPr>
                <w:ilvl w:val="0"/>
                <w:numId w:val="11"/>
              </w:numPr>
              <w:kinsoku/>
              <w:wordWrap/>
              <w:overflowPunct/>
              <w:topLinePunct w:val="0"/>
              <w:autoSpaceDE/>
              <w:autoSpaceDN/>
              <w:bidi w:val="0"/>
              <w:adjustRightInd w:val="0"/>
              <w:snapToGrid w:val="0"/>
              <w:spacing w:before="0" w:beforeAutospacing="0" w:after="0" w:afterAutospacing="0" w:line="300" w:lineRule="exact"/>
              <w:ind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一个纳税年度指当年的1月1日至12月31日。</w:t>
            </w:r>
          </w:p>
          <w:p>
            <w:pPr>
              <w:pStyle w:val="4"/>
              <w:keepNext w:val="0"/>
              <w:keepLines w:val="0"/>
              <w:pageBreakBefore w:val="0"/>
              <w:widowControl/>
              <w:numPr>
                <w:ilvl w:val="0"/>
                <w:numId w:val="11"/>
              </w:numPr>
              <w:kinsoku/>
              <w:wordWrap/>
              <w:overflowPunct/>
              <w:topLinePunct w:val="0"/>
              <w:autoSpaceDE/>
              <w:autoSpaceDN/>
              <w:bidi w:val="0"/>
              <w:adjustRightInd w:val="0"/>
              <w:snapToGrid w:val="0"/>
              <w:spacing w:before="0" w:beforeAutospacing="0" w:after="0" w:afterAutospacing="0" w:line="300" w:lineRule="exact"/>
              <w:ind w:left="0" w:leftChars="0"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对同时满足1和2两项条件的，可以累计计分。</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ind w:firstLine="624" w:firstLineChars="200"/>
              <w:jc w:val="both"/>
              <w:textAlignment w:val="auto"/>
              <w:rPr>
                <w:rFonts w:hint="default"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445" w:type="dxa"/>
            <w:vMerge w:val="continue"/>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tc>
        <w:tc>
          <w:tcPr>
            <w:tcW w:w="445"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both"/>
              <w:textAlignment w:val="auto"/>
              <w:rPr>
                <w:rFonts w:hint="eastAsia" w:ascii="Times New Roman" w:hAnsi="Times New Roman" w:eastAsia="仿宋_GB2312" w:cs="Times New Roman"/>
                <w:sz w:val="28"/>
                <w:szCs w:val="28"/>
                <w:lang w:val="en-US" w:eastAsia="zh-CN"/>
              </w:rPr>
            </w:pPr>
            <w:r>
              <w:rPr>
                <w:rFonts w:hint="eastAsia" w:ascii="Times New Roman" w:hAnsi="Times New Roman" w:cs="Times New Roman"/>
                <w:sz w:val="28"/>
                <w:szCs w:val="28"/>
                <w:lang w:val="en-US" w:eastAsia="zh-CN"/>
              </w:rPr>
              <w:t>7</w:t>
            </w:r>
          </w:p>
        </w:tc>
        <w:tc>
          <w:tcPr>
            <w:tcW w:w="1432"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表彰奖项</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表彰奖项</w:t>
            </w:r>
          </w:p>
        </w:tc>
        <w:tc>
          <w:tcPr>
            <w:tcW w:w="4015" w:type="dxa"/>
            <w:tcBorders>
              <w:tl2br w:val="nil"/>
              <w:tr2bl w:val="nil"/>
            </w:tcBorders>
            <w:noWrap w:val="0"/>
            <w:tcMar>
              <w:left w:w="108" w:type="dxa"/>
              <w:right w:w="108" w:type="dxa"/>
            </w:tcMar>
            <w:vAlign w:val="center"/>
          </w:tcPr>
          <w:p>
            <w:pPr>
              <w:pStyle w:val="4"/>
              <w:keepNext w:val="0"/>
              <w:keepLines w:val="0"/>
              <w:pageBreakBefore w:val="0"/>
              <w:widowControl/>
              <w:numPr>
                <w:ilvl w:val="0"/>
                <w:numId w:val="12"/>
              </w:numPr>
              <w:kinsoku/>
              <w:wordWrap/>
              <w:overflowPunct/>
              <w:topLinePunct w:val="0"/>
              <w:autoSpaceDE/>
              <w:autoSpaceDN/>
              <w:bidi w:val="0"/>
              <w:adjustRightInd w:val="0"/>
              <w:snapToGrid w:val="0"/>
              <w:spacing w:before="0" w:beforeAutospacing="0" w:after="0" w:afterAutospacing="0" w:line="300" w:lineRule="exact"/>
              <w:ind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个人获得党中央、国务院授予的奖项和荣誉称号（30分）；</w:t>
            </w:r>
          </w:p>
          <w:p>
            <w:pPr>
              <w:pStyle w:val="4"/>
              <w:keepNext w:val="0"/>
              <w:keepLines w:val="0"/>
              <w:pageBreakBefore w:val="0"/>
              <w:widowControl/>
              <w:numPr>
                <w:ilvl w:val="0"/>
                <w:numId w:val="12"/>
              </w:numPr>
              <w:kinsoku/>
              <w:wordWrap/>
              <w:overflowPunct/>
              <w:topLinePunct w:val="0"/>
              <w:autoSpaceDE/>
              <w:autoSpaceDN/>
              <w:bidi w:val="0"/>
              <w:adjustRightInd w:val="0"/>
              <w:snapToGrid w:val="0"/>
              <w:spacing w:before="0" w:beforeAutospacing="0" w:after="0" w:afterAutospacing="0" w:line="300" w:lineRule="exact"/>
              <w:ind w:left="0" w:leftChars="0"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个人获得广东省委、省政府或中央和国家机关部委等授予的劳动模范或先进工作者等荣誉称号（20分）；</w:t>
            </w:r>
          </w:p>
          <w:p>
            <w:pPr>
              <w:pStyle w:val="4"/>
              <w:keepNext w:val="0"/>
              <w:keepLines w:val="0"/>
              <w:pageBreakBefore w:val="0"/>
              <w:widowControl/>
              <w:numPr>
                <w:ilvl w:val="0"/>
                <w:numId w:val="12"/>
              </w:numPr>
              <w:kinsoku/>
              <w:wordWrap/>
              <w:overflowPunct/>
              <w:topLinePunct w:val="0"/>
              <w:autoSpaceDE/>
              <w:autoSpaceDN/>
              <w:bidi w:val="0"/>
              <w:adjustRightInd w:val="0"/>
              <w:snapToGrid w:val="0"/>
              <w:spacing w:before="0" w:beforeAutospacing="0" w:after="0" w:afterAutospacing="0" w:line="300" w:lineRule="exact"/>
              <w:ind w:left="0" w:leftChars="0"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个人获得广州市委、市政府授予的奖项和荣誉称号（10分）；</w:t>
            </w:r>
          </w:p>
          <w:p>
            <w:pPr>
              <w:pStyle w:val="4"/>
              <w:keepNext w:val="0"/>
              <w:keepLines w:val="0"/>
              <w:pageBreakBefore w:val="0"/>
              <w:widowControl/>
              <w:numPr>
                <w:ilvl w:val="0"/>
                <w:numId w:val="12"/>
              </w:numPr>
              <w:kinsoku/>
              <w:wordWrap/>
              <w:overflowPunct/>
              <w:topLinePunct w:val="0"/>
              <w:autoSpaceDE/>
              <w:autoSpaceDN/>
              <w:bidi w:val="0"/>
              <w:adjustRightInd w:val="0"/>
              <w:snapToGrid w:val="0"/>
              <w:spacing w:before="0" w:beforeAutospacing="0" w:after="0" w:afterAutospacing="0" w:line="300" w:lineRule="exact"/>
              <w:ind w:left="0" w:leftChars="0"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个人获得广州市直机关或各区委、区政府授予的奖项和荣誉称号（5分）。</w:t>
            </w:r>
          </w:p>
          <w:p>
            <w:pPr>
              <w:pStyle w:val="4"/>
              <w:keepNext w:val="0"/>
              <w:keepLines w:val="0"/>
              <w:pageBreakBefore w:val="0"/>
              <w:widowControl/>
              <w:numPr>
                <w:ilvl w:val="0"/>
                <w:numId w:val="12"/>
              </w:numPr>
              <w:kinsoku/>
              <w:wordWrap/>
              <w:overflowPunct/>
              <w:topLinePunct w:val="0"/>
              <w:autoSpaceDE/>
              <w:autoSpaceDN/>
              <w:bidi w:val="0"/>
              <w:adjustRightInd w:val="0"/>
              <w:snapToGrid w:val="0"/>
              <w:spacing w:before="0" w:beforeAutospacing="0" w:after="0" w:afterAutospacing="0" w:line="300" w:lineRule="exact"/>
              <w:ind w:left="0" w:leftChars="0"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个人获得中央军委授予的荣誉称号（30分）。</w:t>
            </w:r>
          </w:p>
          <w:p>
            <w:pPr>
              <w:pStyle w:val="4"/>
              <w:keepNext w:val="0"/>
              <w:keepLines w:val="0"/>
              <w:pageBreakBefore w:val="0"/>
              <w:widowControl/>
              <w:numPr>
                <w:ilvl w:val="0"/>
                <w:numId w:val="12"/>
              </w:numPr>
              <w:kinsoku/>
              <w:wordWrap/>
              <w:overflowPunct/>
              <w:topLinePunct w:val="0"/>
              <w:autoSpaceDE/>
              <w:autoSpaceDN/>
              <w:bidi w:val="0"/>
              <w:adjustRightInd w:val="0"/>
              <w:snapToGrid w:val="0"/>
              <w:spacing w:before="0" w:beforeAutospacing="0" w:after="0" w:afterAutospacing="0" w:line="300" w:lineRule="exact"/>
              <w:ind w:left="0" w:leftChars="0"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个人获得一等功（首次20分，累加每次5分）；获得二等功（首次10分，累加每次2分）；获得三等功（首次5分，累加每次1分）。</w:t>
            </w:r>
          </w:p>
        </w:tc>
        <w:tc>
          <w:tcPr>
            <w:tcW w:w="2925" w:type="dxa"/>
            <w:tcBorders>
              <w:tl2br w:val="nil"/>
              <w:tr2bl w:val="nil"/>
            </w:tcBorders>
            <w:noWrap w:val="0"/>
            <w:tcMar>
              <w:left w:w="108" w:type="dxa"/>
              <w:right w:w="108" w:type="dxa"/>
            </w:tcMar>
            <w:vAlign w:val="center"/>
          </w:tcPr>
          <w:p>
            <w:pPr>
              <w:pStyle w:val="4"/>
              <w:keepNext w:val="0"/>
              <w:keepLines w:val="0"/>
              <w:pageBreakBefore w:val="0"/>
              <w:widowControl/>
              <w:numPr>
                <w:ilvl w:val="0"/>
                <w:numId w:val="13"/>
              </w:numPr>
              <w:kinsoku/>
              <w:wordWrap/>
              <w:overflowPunct/>
              <w:topLinePunct w:val="0"/>
              <w:autoSpaceDE/>
              <w:autoSpaceDN/>
              <w:bidi w:val="0"/>
              <w:adjustRightInd w:val="0"/>
              <w:snapToGrid w:val="0"/>
              <w:spacing w:before="0" w:beforeAutospacing="0" w:after="0" w:afterAutospacing="0" w:line="300" w:lineRule="exact"/>
              <w:ind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只计个人在广州市工作期间获得的奖项。</w:t>
            </w:r>
          </w:p>
          <w:p>
            <w:pPr>
              <w:pStyle w:val="4"/>
              <w:keepNext w:val="0"/>
              <w:keepLines w:val="0"/>
              <w:pageBreakBefore w:val="0"/>
              <w:widowControl/>
              <w:numPr>
                <w:ilvl w:val="0"/>
                <w:numId w:val="13"/>
              </w:numPr>
              <w:kinsoku/>
              <w:wordWrap/>
              <w:overflowPunct/>
              <w:topLinePunct w:val="0"/>
              <w:autoSpaceDE/>
              <w:autoSpaceDN/>
              <w:bidi w:val="0"/>
              <w:adjustRightInd w:val="0"/>
              <w:snapToGrid w:val="0"/>
              <w:spacing w:before="0" w:beforeAutospacing="0" w:after="0" w:afterAutospacing="0" w:line="300" w:lineRule="exact"/>
              <w:ind w:left="0" w:leftChars="0"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同一奖项只取最高分，不同奖项可累计计分。</w:t>
            </w:r>
          </w:p>
          <w:p>
            <w:pPr>
              <w:pStyle w:val="4"/>
              <w:keepNext w:val="0"/>
              <w:keepLines w:val="0"/>
              <w:pageBreakBefore w:val="0"/>
              <w:widowControl/>
              <w:numPr>
                <w:ilvl w:val="0"/>
                <w:numId w:val="13"/>
              </w:numPr>
              <w:kinsoku/>
              <w:wordWrap/>
              <w:overflowPunct/>
              <w:topLinePunct w:val="0"/>
              <w:autoSpaceDE/>
              <w:autoSpaceDN/>
              <w:bidi w:val="0"/>
              <w:adjustRightInd w:val="0"/>
              <w:snapToGrid w:val="0"/>
              <w:spacing w:before="0" w:beforeAutospacing="0" w:after="0" w:afterAutospacing="0" w:line="300" w:lineRule="exact"/>
              <w:ind w:left="0" w:leftChars="0" w:firstLine="624"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服役期间立功受奖情况（指标内容5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6）不受上述限制。</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ind w:firstLine="624" w:firstLineChars="200"/>
              <w:jc w:val="both"/>
              <w:textAlignment w:val="auto"/>
              <w:rPr>
                <w:rFonts w:hint="default" w:ascii="Times New Roman" w:hAnsi="Times New Roman" w:eastAsia="仿宋_GB2312" w:cs="Times New Roman"/>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445" w:type="dxa"/>
            <w:tcBorders>
              <w:tl2br w:val="nil"/>
              <w:tr2bl w:val="nil"/>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snapToGrid w:val="0"/>
              <w:spacing w:line="570" w:lineRule="exact"/>
              <w:ind w:left="0" w:leftChars="0"/>
              <w:jc w:val="center"/>
              <w:textAlignment w:val="auto"/>
              <w:outlineLvl w:val="9"/>
              <w:rPr>
                <w:rFonts w:hint="eastAsia" w:ascii="Times New Roman" w:hAnsi="Times New Roman" w:eastAsia="仿宋_GB2312" w:cs="Times New Roman"/>
                <w:spacing w:val="16"/>
                <w:kern w:val="0"/>
                <w:sz w:val="28"/>
                <w:szCs w:val="28"/>
                <w:lang w:val="en-US" w:eastAsia="zh-CN" w:bidi="ar"/>
              </w:rPr>
            </w:pPr>
            <w:r>
              <w:rPr>
                <w:rFonts w:hint="eastAsia" w:ascii="Times New Roman" w:hAnsi="Times New Roman" w:eastAsia="仿宋_GB2312" w:cs="Times New Roman"/>
                <w:spacing w:val="16"/>
                <w:kern w:val="0"/>
                <w:sz w:val="28"/>
                <w:szCs w:val="28"/>
                <w:lang w:val="en-US" w:eastAsia="zh-CN" w:bidi="ar"/>
              </w:rPr>
              <w:t>增城区补充加分指标</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p>
        </w:tc>
        <w:tc>
          <w:tcPr>
            <w:tcW w:w="445"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both"/>
              <w:textAlignment w:val="auto"/>
              <w:rPr>
                <w:rFonts w:hint="eastAsia" w:ascii="Times New Roman" w:hAnsi="Times New Roman" w:cs="Times New Roman"/>
                <w:sz w:val="28"/>
                <w:szCs w:val="28"/>
                <w:lang w:val="en-US" w:eastAsia="zh-CN"/>
              </w:rPr>
            </w:pPr>
          </w:p>
        </w:tc>
        <w:tc>
          <w:tcPr>
            <w:tcW w:w="1432"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jc w:val="center"/>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pacing w:val="16"/>
                <w:kern w:val="0"/>
                <w:sz w:val="28"/>
                <w:szCs w:val="28"/>
                <w:lang w:val="en-US" w:eastAsia="zh-CN" w:bidi="ar"/>
              </w:rPr>
              <w:t>我区居住时长</w:t>
            </w:r>
          </w:p>
        </w:tc>
        <w:tc>
          <w:tcPr>
            <w:tcW w:w="4015" w:type="dxa"/>
            <w:tcBorders>
              <w:tl2br w:val="nil"/>
              <w:tr2bl w:val="nil"/>
            </w:tcBorders>
            <w:noWrap w:val="0"/>
            <w:tcMar>
              <w:left w:w="108" w:type="dxa"/>
              <w:right w:w="108" w:type="dxa"/>
            </w:tcMar>
            <w:vAlign w:val="center"/>
          </w:tcPr>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00" w:lineRule="exact"/>
              <w:ind w:leftChars="200" w:right="0" w:rightChars="0"/>
              <w:jc w:val="left"/>
              <w:textAlignment w:val="auto"/>
              <w:rPr>
                <w:rFonts w:hint="eastAsia" w:ascii="仿宋_GB2312" w:hAnsi="仿宋_GB2312" w:eastAsia="仿宋_GB2312" w:cs="仿宋_GB2312"/>
                <w:sz w:val="28"/>
                <w:szCs w:val="28"/>
              </w:rPr>
            </w:pP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00" w:lineRule="exact"/>
              <w:ind w:right="0" w:rightChars="0" w:firstLine="624"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持在增城区办理的有效期内的《广东省居住证》每满1年加3分，不足1年的不算分，最高加分不超过15分。</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00" w:lineRule="exact"/>
              <w:ind w:leftChars="200" w:right="0" w:rightChars="0"/>
              <w:jc w:val="both"/>
              <w:textAlignment w:val="auto"/>
              <w:rPr>
                <w:rFonts w:hint="default" w:ascii="Times New Roman" w:hAnsi="Times New Roman" w:eastAsia="仿宋_GB2312" w:cs="Times New Roman"/>
                <w:sz w:val="28"/>
                <w:szCs w:val="28"/>
              </w:rPr>
            </w:pPr>
          </w:p>
        </w:tc>
        <w:tc>
          <w:tcPr>
            <w:tcW w:w="2925" w:type="dxa"/>
            <w:tcBorders>
              <w:tl2br w:val="nil"/>
              <w:tr2bl w:val="nil"/>
            </w:tcBorders>
            <w:noWrap w:val="0"/>
            <w:tcMar>
              <w:left w:w="108" w:type="dxa"/>
              <w:right w:w="108"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exact"/>
              <w:ind w:firstLine="624" w:firstLineChars="200"/>
              <w:jc w:val="left"/>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pacing w:val="16"/>
                <w:kern w:val="0"/>
                <w:sz w:val="28"/>
                <w:szCs w:val="28"/>
                <w:lang w:val="en-US" w:eastAsia="zh-CN" w:bidi="ar"/>
              </w:rPr>
              <w:t>以广州市来穗人员服务管理信息系统查询数据为准，由区来穗局负责审核</w:t>
            </w:r>
            <w:r>
              <w:rPr>
                <w:rFonts w:hint="eastAsia" w:ascii="仿宋_GB2312" w:hAnsi="仿宋_GB2312" w:eastAsia="仿宋_GB2312" w:cs="仿宋_GB2312"/>
                <w:bCs/>
                <w:color w:val="auto"/>
                <w:spacing w:val="16"/>
                <w:kern w:val="2"/>
                <w:sz w:val="28"/>
                <w:szCs w:val="28"/>
                <w:lang w:val="en-US" w:eastAsia="zh-CN" w:bidi="ar-SA"/>
              </w:rPr>
              <w:t>。</w:t>
            </w:r>
          </w:p>
        </w:tc>
      </w:tr>
    </w:tbl>
    <w:p>
      <w:pPr>
        <w:keepNext w:val="0"/>
        <w:keepLines w:val="0"/>
        <w:pageBreakBefore w:val="0"/>
        <w:widowControl w:val="0"/>
        <w:kinsoku/>
        <w:wordWrap/>
        <w:overflowPunct/>
        <w:topLinePunct w:val="0"/>
        <w:autoSpaceDE/>
        <w:autoSpaceDN/>
        <w:bidi w:val="0"/>
        <w:snapToGrid w:val="0"/>
        <w:spacing w:line="570" w:lineRule="exact"/>
        <w:ind w:left="0" w:leftChars="0"/>
        <w:jc w:val="center"/>
        <w:textAlignment w:val="auto"/>
        <w:outlineLvl w:val="9"/>
        <w:rPr>
          <w:rFonts w:hint="eastAsia" w:ascii="方正小标宋简体" w:hAnsi="长城小标宋体" w:eastAsia="方正小标宋简体" w:cs="长城小标宋体"/>
          <w:bCs/>
          <w:sz w:val="44"/>
          <w:szCs w:val="44"/>
        </w:rPr>
      </w:pPr>
    </w:p>
    <w:p>
      <w:pPr>
        <w:snapToGrid w:val="0"/>
        <w:spacing w:line="570" w:lineRule="exact"/>
        <w:rPr>
          <w:rFonts w:hint="eastAsia" w:ascii="黑体" w:hAnsi="仿宋" w:eastAsia="黑体"/>
        </w:rPr>
      </w:pPr>
    </w:p>
    <w:p>
      <w:pPr>
        <w:snapToGrid w:val="0"/>
        <w:spacing w:line="570" w:lineRule="exact"/>
        <w:rPr>
          <w:rFonts w:hint="eastAsia" w:ascii="黑体" w:hAnsi="仿宋" w:eastAsia="黑体"/>
        </w:rPr>
      </w:pPr>
    </w:p>
    <w:p>
      <w:pPr>
        <w:snapToGrid w:val="0"/>
        <w:spacing w:line="570" w:lineRule="exact"/>
        <w:rPr>
          <w:rFonts w:hint="eastAsia" w:ascii="黑体" w:hAnsi="仿宋" w:eastAsia="黑体"/>
        </w:rPr>
      </w:pPr>
    </w:p>
    <w:p>
      <w:pPr>
        <w:snapToGrid w:val="0"/>
        <w:spacing w:line="570" w:lineRule="exact"/>
        <w:rPr>
          <w:rFonts w:hint="eastAsia" w:ascii="黑体" w:hAnsi="仿宋" w:eastAsia="黑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长城小标宋体">
    <w:panose1 w:val="02010609010101010101"/>
    <w:charset w:val="00"/>
    <w:family w:val="moder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CF8A5"/>
    <w:multiLevelType w:val="singleLevel"/>
    <w:tmpl w:val="829CF8A5"/>
    <w:lvl w:ilvl="0" w:tentative="0">
      <w:start w:val="1"/>
      <w:numFmt w:val="decimal"/>
      <w:suff w:val="space"/>
      <w:lvlText w:val="%1."/>
      <w:lvlJc w:val="left"/>
    </w:lvl>
  </w:abstractNum>
  <w:abstractNum w:abstractNumId="1">
    <w:nsid w:val="A407C273"/>
    <w:multiLevelType w:val="singleLevel"/>
    <w:tmpl w:val="A407C273"/>
    <w:lvl w:ilvl="0" w:tentative="0">
      <w:start w:val="1"/>
      <w:numFmt w:val="decimal"/>
      <w:suff w:val="space"/>
      <w:lvlText w:val="%1."/>
      <w:lvlJc w:val="left"/>
    </w:lvl>
  </w:abstractNum>
  <w:abstractNum w:abstractNumId="2">
    <w:nsid w:val="CB01D1C3"/>
    <w:multiLevelType w:val="singleLevel"/>
    <w:tmpl w:val="CB01D1C3"/>
    <w:lvl w:ilvl="0" w:tentative="0">
      <w:start w:val="1"/>
      <w:numFmt w:val="decimal"/>
      <w:suff w:val="space"/>
      <w:lvlText w:val="%1."/>
      <w:lvlJc w:val="left"/>
    </w:lvl>
  </w:abstractNum>
  <w:abstractNum w:abstractNumId="3">
    <w:nsid w:val="E5E8D0F4"/>
    <w:multiLevelType w:val="singleLevel"/>
    <w:tmpl w:val="E5E8D0F4"/>
    <w:lvl w:ilvl="0" w:tentative="0">
      <w:start w:val="1"/>
      <w:numFmt w:val="decimal"/>
      <w:suff w:val="space"/>
      <w:lvlText w:val="%1."/>
      <w:lvlJc w:val="left"/>
    </w:lvl>
  </w:abstractNum>
  <w:abstractNum w:abstractNumId="4">
    <w:nsid w:val="E9ADAC0C"/>
    <w:multiLevelType w:val="singleLevel"/>
    <w:tmpl w:val="E9ADAC0C"/>
    <w:lvl w:ilvl="0" w:tentative="0">
      <w:start w:val="2"/>
      <w:numFmt w:val="decimal"/>
      <w:suff w:val="nothing"/>
      <w:lvlText w:val="（%1）"/>
      <w:lvlJc w:val="left"/>
    </w:lvl>
  </w:abstractNum>
  <w:abstractNum w:abstractNumId="5">
    <w:nsid w:val="05F6D64A"/>
    <w:multiLevelType w:val="singleLevel"/>
    <w:tmpl w:val="05F6D64A"/>
    <w:lvl w:ilvl="0" w:tentative="0">
      <w:start w:val="1"/>
      <w:numFmt w:val="decimal"/>
      <w:suff w:val="space"/>
      <w:lvlText w:val="%1."/>
      <w:lvlJc w:val="left"/>
    </w:lvl>
  </w:abstractNum>
  <w:abstractNum w:abstractNumId="6">
    <w:nsid w:val="075093D7"/>
    <w:multiLevelType w:val="singleLevel"/>
    <w:tmpl w:val="075093D7"/>
    <w:lvl w:ilvl="0" w:tentative="0">
      <w:start w:val="1"/>
      <w:numFmt w:val="decimal"/>
      <w:suff w:val="space"/>
      <w:lvlText w:val="%1."/>
      <w:lvlJc w:val="left"/>
    </w:lvl>
  </w:abstractNum>
  <w:abstractNum w:abstractNumId="7">
    <w:nsid w:val="1369A34A"/>
    <w:multiLevelType w:val="singleLevel"/>
    <w:tmpl w:val="1369A34A"/>
    <w:lvl w:ilvl="0" w:tentative="0">
      <w:start w:val="1"/>
      <w:numFmt w:val="decimal"/>
      <w:suff w:val="space"/>
      <w:lvlText w:val="%1."/>
      <w:lvlJc w:val="left"/>
    </w:lvl>
  </w:abstractNum>
  <w:abstractNum w:abstractNumId="8">
    <w:nsid w:val="141E5528"/>
    <w:multiLevelType w:val="singleLevel"/>
    <w:tmpl w:val="141E5528"/>
    <w:lvl w:ilvl="0" w:tentative="0">
      <w:start w:val="1"/>
      <w:numFmt w:val="decimal"/>
      <w:suff w:val="space"/>
      <w:lvlText w:val="%1."/>
      <w:lvlJc w:val="left"/>
    </w:lvl>
  </w:abstractNum>
  <w:abstractNum w:abstractNumId="9">
    <w:nsid w:val="2B585805"/>
    <w:multiLevelType w:val="singleLevel"/>
    <w:tmpl w:val="2B585805"/>
    <w:lvl w:ilvl="0" w:tentative="0">
      <w:start w:val="1"/>
      <w:numFmt w:val="decimal"/>
      <w:suff w:val="space"/>
      <w:lvlText w:val="%1."/>
      <w:lvlJc w:val="left"/>
    </w:lvl>
  </w:abstractNum>
  <w:abstractNum w:abstractNumId="10">
    <w:nsid w:val="36288730"/>
    <w:multiLevelType w:val="singleLevel"/>
    <w:tmpl w:val="36288730"/>
    <w:lvl w:ilvl="0" w:tentative="0">
      <w:start w:val="2"/>
      <w:numFmt w:val="decimal"/>
      <w:lvlText w:val="%1."/>
      <w:lvlJc w:val="left"/>
      <w:pPr>
        <w:tabs>
          <w:tab w:val="left" w:pos="420"/>
        </w:tabs>
        <w:ind w:left="425" w:hanging="425"/>
      </w:pPr>
      <w:rPr>
        <w:rFonts w:hint="default"/>
      </w:rPr>
    </w:lvl>
  </w:abstractNum>
  <w:abstractNum w:abstractNumId="11">
    <w:nsid w:val="37F2225F"/>
    <w:multiLevelType w:val="singleLevel"/>
    <w:tmpl w:val="37F2225F"/>
    <w:lvl w:ilvl="0" w:tentative="0">
      <w:start w:val="1"/>
      <w:numFmt w:val="decimal"/>
      <w:suff w:val="space"/>
      <w:lvlText w:val="%1."/>
      <w:lvlJc w:val="left"/>
    </w:lvl>
  </w:abstractNum>
  <w:abstractNum w:abstractNumId="12">
    <w:nsid w:val="4B34A7BD"/>
    <w:multiLevelType w:val="singleLevel"/>
    <w:tmpl w:val="4B34A7BD"/>
    <w:lvl w:ilvl="0" w:tentative="0">
      <w:start w:val="1"/>
      <w:numFmt w:val="decimal"/>
      <w:suff w:val="space"/>
      <w:lvlText w:val="%1."/>
      <w:lvlJc w:val="left"/>
    </w:lvl>
  </w:abstractNum>
  <w:num w:numId="1">
    <w:abstractNumId w:val="0"/>
  </w:num>
  <w:num w:numId="2">
    <w:abstractNumId w:val="12"/>
  </w:num>
  <w:num w:numId="3">
    <w:abstractNumId w:val="1"/>
  </w:num>
  <w:num w:numId="4">
    <w:abstractNumId w:val="9"/>
  </w:num>
  <w:num w:numId="5">
    <w:abstractNumId w:val="11"/>
  </w:num>
  <w:num w:numId="6">
    <w:abstractNumId w:val="2"/>
  </w:num>
  <w:num w:numId="7">
    <w:abstractNumId w:val="3"/>
  </w:num>
  <w:num w:numId="8">
    <w:abstractNumId w:val="8"/>
  </w:num>
  <w:num w:numId="9">
    <w:abstractNumId w:val="4"/>
  </w:num>
  <w:num w:numId="10">
    <w:abstractNumId w:val="10"/>
  </w:num>
  <w:num w:numId="11">
    <w:abstractNumId w:val="7"/>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77818"/>
    <w:rsid w:val="74077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spacing w:val="16"/>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BodyText"/>
    <w:basedOn w:val="1"/>
    <w:qFormat/>
    <w:uiPriority w:val="0"/>
    <w:rPr>
      <w:spacing w:val="16"/>
      <w:szCs w:val="32"/>
    </w:rPr>
  </w:style>
  <w:style w:type="paragraph" w:styleId="3">
    <w:name w:val="Body Text"/>
    <w:basedOn w:val="1"/>
    <w:qFormat/>
    <w:uiPriority w:val="0"/>
    <w:pPr>
      <w:widowControl w:val="0"/>
      <w:spacing w:after="120"/>
      <w:jc w:val="both"/>
    </w:pPr>
    <w:rPr>
      <w:rFonts w:ascii="仿宋_GB2312" w:eastAsia="仿宋_GB2312" w:cs="Times New Roman"/>
      <w:snapToGrid w:val="0"/>
      <w:spacing w:val="6"/>
      <w:kern w:val="2"/>
      <w:sz w:val="30"/>
      <w:szCs w:val="30"/>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2022-05-11T03:01:00Z</dcterms:created>
  <dc:creator>20170728</dc:creator>
  <cp:lastModifiedBy>20170728</cp:lastModifiedBy>
  <dcterms:modified xsi:type="dcterms:W3CDTF">2022-05-11T03:25:58Z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