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附件3</w:t>
      </w:r>
    </w:p>
    <w:tbl>
      <w:tblPr>
        <w:tblStyle w:val="3"/>
        <w:tblW w:w="99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394"/>
        <w:gridCol w:w="1570"/>
        <w:gridCol w:w="162"/>
        <w:gridCol w:w="930"/>
        <w:gridCol w:w="1766"/>
        <w:gridCol w:w="1265"/>
        <w:gridCol w:w="500"/>
        <w:gridCol w:w="1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955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333333"/>
                <w:sz w:val="44"/>
                <w:szCs w:val="44"/>
              </w:rPr>
              <w:t>企业国有资本收益（国有产权转让收入）申报表</w:t>
            </w:r>
          </w:p>
          <w:bookmarkEnd w:id="0"/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142" w:hanging="142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企业国有产权及其交易情况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组织形式</w:t>
            </w:r>
          </w:p>
        </w:tc>
        <w:tc>
          <w:tcPr>
            <w:tcW w:w="197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（国有独资企业或国有控股参股企业）</w:t>
            </w:r>
          </w:p>
        </w:tc>
        <w:tc>
          <w:tcPr>
            <w:tcW w:w="197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所处行业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其中：国有股权（股份）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账面资产总额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其中：固定资产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国有净资产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资产评估值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交易机构名称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交易机构地址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结算银行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结算账户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财务经理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转让标的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占国有净资产比重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转让底价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实际成交价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合同签订日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交易结算日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价款结算方式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价款结算时间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受让方有关情况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注册地（或住所）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资产总额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29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项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企业申报数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监管机构审核数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实际转让收入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减：转让费用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转让净收入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附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送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资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、政府批准文件或国有资产监管机构审批文件； 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、资产评估报告；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、交易结算单据复印件；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95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、转让费用清单及发票； 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、产权转让合同；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、其他资料。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56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both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该企业按照规定程序进行交易，申报材料真实、合法，国有股东权益没有受到损害。</w:t>
            </w:r>
          </w:p>
        </w:tc>
        <w:tc>
          <w:tcPr>
            <w:tcW w:w="3531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声</w:t>
            </w:r>
          </w:p>
        </w:tc>
        <w:tc>
          <w:tcPr>
            <w:tcW w:w="4056" w:type="dxa"/>
            <w:gridSpan w:val="4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53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296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申报单位负责人（签章）：</w:t>
            </w:r>
          </w:p>
        </w:tc>
        <w:tc>
          <w:tcPr>
            <w:tcW w:w="1092" w:type="dxa"/>
            <w:gridSpan w:val="2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（公章）</w:t>
            </w:r>
          </w:p>
        </w:tc>
        <w:tc>
          <w:tcPr>
            <w:tcW w:w="5002" w:type="dxa"/>
            <w:gridSpan w:val="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（监管机构盖章）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056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50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       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5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申报单位主管部门负责人：</w:t>
            </w:r>
          </w:p>
        </w:tc>
        <w:tc>
          <w:tcPr>
            <w:tcW w:w="353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经办人：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电话：</w:t>
            </w:r>
          </w:p>
        </w:tc>
        <w:tc>
          <w:tcPr>
            <w:tcW w:w="14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ascii="微软雅黑" w:hAnsi="微软雅黑" w:cs="宋体"/>
                <w:color w:val="333333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21"/>
          <w:szCs w:val="21"/>
        </w:rPr>
        <w:t>注：本表一式三份，适用于区属国有企业。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74FB"/>
    <w:rsid w:val="7C7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2020-02-11T08:45:00Z</dcterms:created>
  <dc:creator>爵士乐</dc:creator>
  <cp:lastModifiedBy>爵士乐</cp:lastModifiedBy>
  <dcterms:modified xsi:type="dcterms:W3CDTF">2020-02-11T08:45:17Z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