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附件2</w:t>
      </w:r>
      <w:bookmarkStart w:id="1" w:name="_GoBack"/>
      <w:bookmarkEnd w:id="1"/>
    </w:p>
    <w:p>
      <w:pPr>
        <w:spacing w:line="640" w:lineRule="exact"/>
        <w:jc w:val="center"/>
        <w:outlineLvl w:val="9"/>
        <w:rPr>
          <w:rFonts w:hint="default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</w:pPr>
      <w:bookmarkStart w:id="0" w:name="_Toc121734445"/>
      <w:r>
        <w:rPr>
          <w:rFonts w:hint="default" w:ascii="方正小标宋_GBK" w:hAnsi="方正小标宋_GBK" w:eastAsia="方正小标宋_GBK" w:cs="方正小标宋_GBK"/>
          <w:b w:val="0"/>
          <w:bCs/>
          <w:sz w:val="36"/>
          <w:szCs w:val="36"/>
        </w:rPr>
        <w:t>高新技术企业综合统计快报表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（</w:t>
      </w:r>
      <w:r>
        <w:rPr>
          <w:rFonts w:hint="default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科技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行政</w:t>
      </w:r>
      <w:r>
        <w:rPr>
          <w:rFonts w:hint="default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主管部门版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）</w:t>
      </w:r>
    </w:p>
    <w:tbl>
      <w:tblPr>
        <w:tblStyle w:val="6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2"/>
        <w:gridCol w:w="2065"/>
        <w:gridCol w:w="1145"/>
        <w:gridCol w:w="1064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39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表号：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ＧＱＫＢ－０１</w:t>
            </w:r>
            <w:r>
              <w:rPr>
                <w:rFonts w:ascii="Times New Roman" w:hAnsi="Times New Roman"/>
                <w:bCs/>
                <w:sz w:val="18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39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制定机关：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科学技术部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39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批准机关：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国家统计局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39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tabs>
                <w:tab w:val="left" w:pos="730"/>
              </w:tabs>
              <w:autoSpaceDE/>
              <w:autoSpaceDN/>
              <w:adjustRightInd/>
              <w:spacing w:before="14" w:line="240" w:lineRule="exact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批准文号：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国统制〔2022〕11号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20"/>
              </w:rPr>
              <w:t>综合机关名称：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20"/>
              </w:rPr>
              <w:t>２０</w:t>
            </w:r>
            <w:r>
              <w:rPr>
                <w:rFonts w:hint="eastAsia" w:ascii="Times New Roman" w:hAnsi="Times New Roman"/>
                <w:bCs/>
                <w:sz w:val="18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20"/>
                <w:u w:val="single"/>
              </w:rPr>
              <w:t xml:space="preserve">   </w:t>
            </w:r>
            <w:r>
              <w:rPr>
                <w:rFonts w:ascii="Times New Roman" w:hAnsi="Times New Roman"/>
                <w:bCs/>
                <w:sz w:val="18"/>
                <w:szCs w:val="20"/>
              </w:rPr>
              <w:t>年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有效期至：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２０２５</w:t>
            </w:r>
            <w:r>
              <w:rPr>
                <w:rFonts w:ascii="Times New Roman" w:hAnsi="Times New Roman"/>
                <w:bCs/>
                <w:sz w:val="18"/>
              </w:rPr>
              <w:t>年１月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指标名称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计量单位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代码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甲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乙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丙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一、统计的高新技术企业数量（K1A1_0&gt;K1A2）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家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K1A1_0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360" w:firstLineChars="2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其中：收入上亿企业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家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K1A2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二、统计高企年末从业人员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K1B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三、营业收入（K1C1&gt;=K1C2）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千元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K1C1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四、出口总额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千元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K1C2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5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五、工业总产值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千元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K1D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5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六、利润总额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千元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K2E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七、净利润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千元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K1E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八、实际上缴税费总额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千元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K1F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九、实际减免税额（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K1G&gt;KH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+KJ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）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千元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K1G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247" w:type="dxa"/>
            <w:gridSpan w:val="2"/>
            <w:tcBorders>
              <w:top w:val="single" w:color="auto" w:sz="4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360" w:firstLineChars="200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其中：享受高新技术企业政策减免所得税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千元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KH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247" w:type="dxa"/>
            <w:gridSpan w:val="2"/>
            <w:tcBorders>
              <w:top w:val="single" w:color="auto" w:sz="4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900" w:firstLineChars="500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18"/>
                <w:szCs w:val="18"/>
              </w:rPr>
              <w:t>享受先进制造业企业增值税加计抵减额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千元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18"/>
                <w:szCs w:val="18"/>
                <w:lang w:val="en-US" w:eastAsia="zh-CN"/>
              </w:rPr>
              <w:t>KJ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393" w:type="dxa"/>
            <w:gridSpan w:val="5"/>
            <w:tcBorders>
              <w:top w:val="single" w:color="auto" w:sz="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sz w:val="18"/>
                <w:szCs w:val="24"/>
              </w:rPr>
              <w:t>补充资料：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sz w:val="18"/>
                <w:szCs w:val="24"/>
              </w:rPr>
              <w:t>综合填报单位地址：</w:t>
            </w:r>
            <w:r>
              <w:rPr>
                <w:rFonts w:hint="eastAsia" w:ascii="Times New Roman" w:hAnsi="Times New Roman"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                                       邮编：</w:t>
            </w:r>
            <w:r>
              <w:rPr>
                <w:rFonts w:ascii="Times New Roman" w:hAnsi="Times New Roman" w:eastAsia="宋体"/>
                <w:bCs/>
                <w:sz w:val="18"/>
                <w:szCs w:val="24"/>
              </w:rPr>
              <w:t>□□□□□□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sz w:val="18"/>
                <w:szCs w:val="24"/>
              </w:rPr>
              <w:t>联系电话：</w:t>
            </w:r>
            <w:r>
              <w:rPr>
                <w:rFonts w:hint="eastAsia" w:ascii="Times New Roman" w:hAnsi="Times New Roman"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                                               传真：</w:t>
            </w:r>
          </w:p>
        </w:tc>
      </w:tr>
    </w:tbl>
    <w:p>
      <w:pPr>
        <w:snapToGrid w:val="0"/>
        <w:spacing w:line="280" w:lineRule="exact"/>
        <w:jc w:val="left"/>
        <w:rPr>
          <w:rFonts w:ascii="Times New Roman" w:hAnsi="Times New Roman"/>
          <w:bCs/>
          <w:sz w:val="18"/>
          <w:szCs w:val="20"/>
        </w:rPr>
      </w:pPr>
      <w:r>
        <w:rPr>
          <w:rFonts w:ascii="Times New Roman" w:hAnsi="Times New Roman"/>
          <w:bCs/>
          <w:sz w:val="18"/>
          <w:szCs w:val="20"/>
        </w:rPr>
        <w:t>单位负责人：</w:t>
      </w:r>
      <w:r>
        <w:rPr>
          <w:rFonts w:hint="eastAsia" w:ascii="Times New Roman" w:hAnsi="Times New Roman"/>
          <w:bCs/>
          <w:sz w:val="18"/>
          <w:szCs w:val="20"/>
          <w:u w:val="single"/>
        </w:rPr>
        <w:t xml:space="preserve"> </w:t>
      </w:r>
      <w:r>
        <w:rPr>
          <w:rFonts w:ascii="Times New Roman" w:hAnsi="Times New Roman"/>
          <w:bCs/>
          <w:sz w:val="18"/>
          <w:szCs w:val="20"/>
          <w:u w:val="single"/>
        </w:rPr>
        <w:t xml:space="preserve">                   </w:t>
      </w:r>
      <w:r>
        <w:rPr>
          <w:rFonts w:ascii="Times New Roman" w:hAnsi="Times New Roman"/>
          <w:bCs/>
          <w:sz w:val="18"/>
          <w:szCs w:val="20"/>
        </w:rPr>
        <w:t xml:space="preserve">    填表人:</w:t>
      </w:r>
      <w:r>
        <w:rPr>
          <w:rFonts w:ascii="Times New Roman" w:hAnsi="Times New Roman"/>
          <w:bCs/>
          <w:sz w:val="18"/>
          <w:szCs w:val="20"/>
          <w:u w:val="single"/>
        </w:rPr>
        <w:t xml:space="preserve">                      </w:t>
      </w:r>
      <w:r>
        <w:rPr>
          <w:rFonts w:ascii="Times New Roman" w:hAnsi="Times New Roman"/>
          <w:bCs/>
          <w:sz w:val="18"/>
          <w:szCs w:val="20"/>
        </w:rPr>
        <w:t xml:space="preserve">     报出日期:20</w:t>
      </w:r>
      <w:r>
        <w:rPr>
          <w:rFonts w:ascii="Times New Roman" w:hAnsi="Times New Roman"/>
          <w:bCs/>
          <w:sz w:val="18"/>
          <w:szCs w:val="20"/>
          <w:u w:val="single"/>
        </w:rPr>
        <w:t xml:space="preserve">  </w:t>
      </w:r>
      <w:r>
        <w:rPr>
          <w:rFonts w:ascii="Times New Roman" w:hAnsi="Times New Roman"/>
          <w:bCs/>
          <w:sz w:val="18"/>
          <w:szCs w:val="20"/>
        </w:rPr>
        <w:t>年</w:t>
      </w:r>
      <w:r>
        <w:rPr>
          <w:rFonts w:hint="eastAsia" w:ascii="Times New Roman" w:hAnsi="Times New Roman"/>
          <w:bCs/>
          <w:sz w:val="18"/>
          <w:szCs w:val="20"/>
          <w:u w:val="single"/>
        </w:rPr>
        <w:t xml:space="preserve"> </w:t>
      </w:r>
      <w:r>
        <w:rPr>
          <w:rFonts w:ascii="Times New Roman" w:hAnsi="Times New Roman"/>
          <w:bCs/>
          <w:sz w:val="18"/>
          <w:szCs w:val="20"/>
          <w:u w:val="single"/>
        </w:rPr>
        <w:t xml:space="preserve"> </w:t>
      </w:r>
      <w:r>
        <w:rPr>
          <w:rFonts w:ascii="Times New Roman" w:hAnsi="Times New Roman"/>
          <w:bCs/>
          <w:sz w:val="18"/>
          <w:szCs w:val="20"/>
        </w:rPr>
        <w:t>月</w:t>
      </w:r>
      <w:r>
        <w:rPr>
          <w:rFonts w:hint="eastAsia" w:ascii="Times New Roman" w:hAnsi="Times New Roman"/>
          <w:bCs/>
          <w:sz w:val="18"/>
          <w:szCs w:val="20"/>
          <w:u w:val="single"/>
        </w:rPr>
        <w:t xml:space="preserve"> </w:t>
      </w:r>
      <w:r>
        <w:rPr>
          <w:rFonts w:ascii="Times New Roman" w:hAnsi="Times New Roman"/>
          <w:bCs/>
          <w:sz w:val="18"/>
          <w:szCs w:val="20"/>
          <w:u w:val="single"/>
        </w:rPr>
        <w:t xml:space="preserve"> </w:t>
      </w:r>
      <w:r>
        <w:rPr>
          <w:rFonts w:ascii="Times New Roman" w:hAnsi="Times New Roman"/>
          <w:bCs/>
          <w:sz w:val="18"/>
          <w:szCs w:val="20"/>
        </w:rPr>
        <w:t>日</w:t>
      </w:r>
    </w:p>
    <w:p>
      <w:pPr>
        <w:rPr>
          <w:rFonts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 xml:space="preserve"> </w:t>
      </w:r>
    </w:p>
    <w:p>
      <w:pPr>
        <w:spacing w:line="280" w:lineRule="exact"/>
        <w:rPr>
          <w:rFonts w:ascii="Times New Roman" w:hAnsi="Times New Roman" w:cs="Times New Roman"/>
          <w:bCs/>
          <w:kern w:val="0"/>
          <w:sz w:val="18"/>
          <w:szCs w:val="18"/>
        </w:rPr>
      </w:pPr>
      <w:r>
        <w:rPr>
          <w:rFonts w:ascii="Times New Roman" w:hAnsi="Times New Roman"/>
          <w:bCs/>
          <w:sz w:val="18"/>
          <w:szCs w:val="24"/>
        </w:rPr>
        <w:t>说明</w:t>
      </w:r>
      <w:r>
        <w:rPr>
          <w:rFonts w:ascii="Times New Roman" w:hAnsi="Times New Roman" w:cs="Times New Roman"/>
          <w:bCs/>
          <w:sz w:val="18"/>
          <w:szCs w:val="24"/>
        </w:rPr>
        <w:t>：</w:t>
      </w:r>
      <w:r>
        <w:rPr>
          <w:rFonts w:ascii="Times New Roman" w:hAnsi="Times New Roman" w:cs="Times New Roman"/>
          <w:bCs/>
          <w:kern w:val="0"/>
          <w:sz w:val="18"/>
          <w:szCs w:val="18"/>
        </w:rPr>
        <w:t>1.本表为年报，填报每年1月1日至12月31日情况。</w:t>
      </w:r>
    </w:p>
    <w:p>
      <w:pPr>
        <w:adjustRightInd w:val="0"/>
        <w:spacing w:line="280" w:lineRule="exact"/>
        <w:ind w:left="525" w:leftChars="250"/>
        <w:rPr>
          <w:rFonts w:ascii="Times New Roman" w:hAnsi="Times New Roman" w:cs="Times New Roman"/>
          <w:bCs/>
          <w:sz w:val="18"/>
          <w:szCs w:val="24"/>
        </w:rPr>
      </w:pPr>
      <w:r>
        <w:rPr>
          <w:rFonts w:ascii="Times New Roman" w:hAnsi="Times New Roman" w:cs="Times New Roman"/>
          <w:bCs/>
          <w:kern w:val="0"/>
          <w:sz w:val="18"/>
          <w:szCs w:val="18"/>
        </w:rPr>
        <w:t>2.填报范围：各省、自治区、直辖市、科技厅（委、局）报送</w:t>
      </w:r>
      <w:r>
        <w:rPr>
          <w:rFonts w:ascii="Times New Roman" w:hAnsi="Times New Roman" w:cs="Times New Roman"/>
          <w:bCs/>
          <w:sz w:val="18"/>
          <w:szCs w:val="24"/>
        </w:rPr>
        <w:t>经各地方高新技术企业认定管理机构认定，</w:t>
      </w:r>
      <w:r>
        <w:rPr>
          <w:rFonts w:ascii="Times New Roman" w:hAnsi="Times New Roman" w:cs="Times New Roman"/>
          <w:bCs/>
          <w:kern w:val="0"/>
          <w:sz w:val="18"/>
          <w:szCs w:val="18"/>
        </w:rPr>
        <w:t>并经全国高新技术企业认定管理工作领导小组备案，获得高新技术企业证书，且证书于报告期年底尚在有效期内的企业综合情况。</w:t>
      </w:r>
    </w:p>
    <w:p>
      <w:pPr>
        <w:adjustRightInd w:val="0"/>
        <w:spacing w:line="280" w:lineRule="exact"/>
        <w:ind w:left="525" w:leftChars="250"/>
        <w:rPr>
          <w:rFonts w:ascii="Times New Roman" w:hAnsi="Times New Roman" w:cs="Times New Roman"/>
          <w:bCs/>
          <w:sz w:val="18"/>
          <w:szCs w:val="24"/>
        </w:rPr>
      </w:pPr>
      <w:r>
        <w:rPr>
          <w:rFonts w:ascii="Times New Roman" w:hAnsi="Times New Roman" w:cs="Times New Roman"/>
          <w:bCs/>
          <w:kern w:val="0"/>
          <w:sz w:val="18"/>
          <w:szCs w:val="21"/>
        </w:rPr>
        <w:t>3.</w:t>
      </w:r>
      <w:r>
        <w:rPr>
          <w:rFonts w:ascii="Times New Roman" w:hAnsi="Times New Roman" w:cs="Times New Roman"/>
          <w:bCs/>
          <w:sz w:val="18"/>
          <w:szCs w:val="24"/>
        </w:rPr>
        <w:t>报送日期及方式：本表请各科技厅（委、局）务必于报告期次年</w:t>
      </w:r>
      <w:r>
        <w:rPr>
          <w:rFonts w:hint="default" w:ascii="Times New Roman" w:hAnsi="Times New Roman" w:cs="Times New Roman"/>
          <w:bCs/>
          <w:sz w:val="18"/>
          <w:szCs w:val="24"/>
          <w:lang w:val="en-US" w:eastAsia="zh-CN"/>
        </w:rPr>
        <w:t>1</w:t>
      </w:r>
      <w:r>
        <w:rPr>
          <w:rFonts w:ascii="Times New Roman" w:hAnsi="Times New Roman" w:cs="Times New Roman"/>
          <w:bCs/>
          <w:sz w:val="18"/>
          <w:szCs w:val="24"/>
        </w:rPr>
        <w:t>月</w:t>
      </w:r>
      <w:r>
        <w:rPr>
          <w:rFonts w:hint="default" w:ascii="Times New Roman" w:hAnsi="Times New Roman" w:cs="Times New Roman"/>
          <w:bCs/>
          <w:sz w:val="18"/>
          <w:szCs w:val="24"/>
          <w:lang w:val="en-US" w:eastAsia="zh-CN"/>
        </w:rPr>
        <w:t>25</w:t>
      </w:r>
      <w:r>
        <w:rPr>
          <w:rFonts w:ascii="Times New Roman" w:hAnsi="Times New Roman" w:cs="Times New Roman"/>
          <w:bCs/>
          <w:sz w:val="18"/>
          <w:szCs w:val="24"/>
        </w:rPr>
        <w:t>日前将审核过的报表通过</w:t>
      </w:r>
      <w:r>
        <w:rPr>
          <w:rFonts w:ascii="Times New Roman" w:hAnsi="Times New Roman" w:cs="Times New Roman"/>
          <w:bCs/>
          <w:kern w:val="0"/>
          <w:sz w:val="18"/>
          <w:szCs w:val="21"/>
        </w:rPr>
        <w:t>科技部火炬统计调查信息系统填报</w:t>
      </w:r>
      <w:r>
        <w:rPr>
          <w:rFonts w:ascii="Times New Roman" w:hAnsi="Times New Roman" w:cs="Times New Roman"/>
          <w:bCs/>
          <w:sz w:val="18"/>
          <w:szCs w:val="24"/>
        </w:rPr>
        <w:t>，同时将领导签字盖章的纸件作为附件上传。</w:t>
      </w:r>
    </w:p>
    <w:p>
      <w:pPr>
        <w:adjustRightInd w:val="0"/>
        <w:spacing w:line="280" w:lineRule="exact"/>
        <w:ind w:left="525" w:leftChars="250"/>
        <w:rPr>
          <w:rFonts w:hint="default" w:ascii="Times New Roman" w:hAnsi="Times New Roman" w:eastAsia="宋体" w:cs="Times New Roman"/>
          <w:bCs/>
          <w:sz w:val="18"/>
          <w:szCs w:val="24"/>
          <w:lang w:val="en-US" w:eastAsia="zh-CN"/>
        </w:rPr>
      </w:pPr>
      <w:r>
        <w:rPr>
          <w:rFonts w:ascii="Times New Roman" w:hAnsi="Times New Roman" w:cs="Times New Roman"/>
          <w:bCs/>
          <w:sz w:val="18"/>
          <w:szCs w:val="24"/>
        </w:rPr>
        <w:t>4.审核</w:t>
      </w:r>
      <w:r>
        <w:rPr>
          <w:rFonts w:ascii="Times New Roman" w:hAnsi="Times New Roman" w:cs="Times New Roman"/>
          <w:bCs/>
          <w:kern w:val="0"/>
          <w:sz w:val="18"/>
          <w:szCs w:val="18"/>
        </w:rPr>
        <w:t>关系：</w:t>
      </w:r>
      <w:r>
        <w:rPr>
          <w:rFonts w:ascii="Times New Roman" w:hAnsi="Times New Roman" w:cs="Times New Roman"/>
          <w:bCs/>
          <w:sz w:val="18"/>
          <w:szCs w:val="24"/>
        </w:rPr>
        <w:t>（1）K1A1</w:t>
      </w:r>
      <w:r>
        <w:rPr>
          <w:rFonts w:ascii="Times New Roman" w:hAnsi="Times New Roman" w:cs="Times New Roman"/>
          <w:bCs/>
          <w:sz w:val="18"/>
          <w:szCs w:val="18"/>
        </w:rPr>
        <w:t>_0</w:t>
      </w:r>
      <w:r>
        <w:rPr>
          <w:rFonts w:ascii="Times New Roman" w:hAnsi="Times New Roman" w:cs="Times New Roman"/>
          <w:bCs/>
          <w:sz w:val="18"/>
          <w:szCs w:val="24"/>
        </w:rPr>
        <w:t>&gt;</w:t>
      </w:r>
      <w:r>
        <w:rPr>
          <w:rFonts w:ascii="Times New Roman" w:hAnsi="Times New Roman" w:cs="Times New Roman"/>
          <w:bCs/>
          <w:kern w:val="0"/>
          <w:sz w:val="18"/>
          <w:szCs w:val="18"/>
        </w:rPr>
        <w:t>K1A2</w:t>
      </w:r>
      <w:r>
        <w:rPr>
          <w:rFonts w:ascii="Times New Roman" w:hAnsi="Times New Roman" w:cs="Times New Roman"/>
          <w:bCs/>
          <w:sz w:val="18"/>
          <w:szCs w:val="24"/>
        </w:rPr>
        <w:t>（2）K1C1&gt;=K1C2（3）K2E&gt;=K1E</w:t>
      </w:r>
      <w:r>
        <w:rPr>
          <w:rFonts w:hint="default" w:ascii="Times New Roman" w:hAnsi="Times New Roman" w:cs="Times New Roman"/>
          <w:bCs/>
          <w:sz w:val="18"/>
          <w:szCs w:val="24"/>
          <w:lang w:val="en-US" w:eastAsia="zh-CN"/>
        </w:rPr>
        <w:t xml:space="preserve">  </w:t>
      </w:r>
      <w:r>
        <w:rPr>
          <w:rFonts w:ascii="Times New Roman" w:hAnsi="Times New Roman" w:cs="Times New Roman"/>
          <w:bCs/>
          <w:sz w:val="18"/>
          <w:szCs w:val="24"/>
        </w:rPr>
        <w:t>(4)K1G&gt;KH</w:t>
      </w:r>
      <w:r>
        <w:rPr>
          <w:rFonts w:hint="default" w:ascii="Times New Roman" w:hAnsi="Times New Roman" w:cs="Times New Roman"/>
          <w:bCs/>
          <w:sz w:val="18"/>
          <w:szCs w:val="24"/>
          <w:lang w:val="en-US" w:eastAsia="zh-CN"/>
        </w:rPr>
        <w:t>+KJ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0234F"/>
    <w:rsid w:val="37B0234F"/>
    <w:rsid w:val="56C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unhideWhenUsed/>
    <w:qFormat/>
    <w:uiPriority w:val="0"/>
    <w:pPr>
      <w:spacing w:after="120"/>
    </w:pPr>
  </w:style>
  <w:style w:type="paragraph" w:customStyle="1" w:styleId="8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2024-01-11T01:20:00Z</dcterms:created>
  <dc:creator>未定义</dc:creator>
  <cp:lastModifiedBy>未定义</cp:lastModifiedBy>
  <dcterms:modified xsi:type="dcterms:W3CDTF">2024-01-11T01:22:12Z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