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bl>
      <w:tblPr>
        <w:tblStyle w:val="4"/>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6"/>
        <w:gridCol w:w="4341"/>
        <w:gridCol w:w="1949"/>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1" w:hRule="atLeast"/>
        </w:trPr>
        <w:tc>
          <w:tcPr>
            <w:tcW w:w="8860"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i w:val="0"/>
                <w:color w:val="000000"/>
                <w:kern w:val="0"/>
                <w:sz w:val="44"/>
                <w:szCs w:val="44"/>
                <w:u w:val="none"/>
                <w:lang w:val="en-US" w:eastAsia="zh-CN" w:bidi="ar-SA"/>
              </w:rPr>
            </w:pPr>
            <w:r>
              <w:rPr>
                <w:rFonts w:hint="eastAsia" w:ascii="方正小标宋简体" w:hAnsi="方正小标宋简体" w:eastAsia="方正小标宋简体" w:cs="方正小标宋简体"/>
                <w:i w:val="0"/>
                <w:color w:val="000000"/>
                <w:kern w:val="0"/>
                <w:sz w:val="44"/>
                <w:szCs w:val="44"/>
                <w:u w:val="none"/>
                <w:lang w:val="en-US" w:eastAsia="zh-CN" w:bidi="ar-SA"/>
              </w:rPr>
              <w:t>广州市医疗保障局</w:t>
            </w:r>
            <w:r>
              <w:rPr>
                <w:rFonts w:hint="eastAsia" w:ascii="Times New Roman" w:hAnsi="Times New Roman" w:eastAsia="方正小标宋简体" w:cs="方正小标宋简体"/>
                <w:i w:val="0"/>
                <w:color w:val="000000"/>
                <w:kern w:val="0"/>
                <w:sz w:val="44"/>
                <w:szCs w:val="44"/>
                <w:u w:val="none"/>
                <w:lang w:val="en-US" w:eastAsia="zh-CN" w:bidi="ar-SA"/>
              </w:rPr>
              <w:t>2021</w:t>
            </w:r>
            <w:r>
              <w:rPr>
                <w:rFonts w:hint="eastAsia" w:ascii="方正小标宋简体" w:hAnsi="方正小标宋简体" w:eastAsia="方正小标宋简体" w:cs="方正小标宋简体"/>
                <w:i w:val="0"/>
                <w:color w:val="000000"/>
                <w:kern w:val="0"/>
                <w:sz w:val="44"/>
                <w:szCs w:val="44"/>
                <w:u w:val="none"/>
                <w:lang w:val="en-US" w:eastAsia="zh-CN" w:bidi="ar-SA"/>
              </w:rPr>
              <w:t>年度政务公开</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44"/>
                <w:szCs w:val="44"/>
                <w:u w:val="none"/>
                <w:lang w:val="en-US" w:eastAsia="zh-CN" w:bidi="ar-SA"/>
              </w:rPr>
              <w:t>工作要点分工方案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8" w:hRule="atLeast"/>
        </w:trPr>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工作任务</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具体要求</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落实单位</w:t>
            </w:r>
            <w:r>
              <w:rPr>
                <w:rFonts w:hint="eastAsia" w:ascii="黑体" w:hAnsi="宋体" w:eastAsia="黑体" w:cs="黑体"/>
                <w:i w:val="0"/>
                <w:color w:val="000000"/>
                <w:kern w:val="0"/>
                <w:sz w:val="28"/>
                <w:szCs w:val="28"/>
                <w:u w:val="none"/>
                <w:lang w:val="en-US" w:eastAsia="zh-CN" w:bidi="ar-SA"/>
              </w:rPr>
              <w:br w:type="textWrapping"/>
            </w:r>
            <w:r>
              <w:rPr>
                <w:rFonts w:hint="eastAsia" w:ascii="黑体" w:hAnsi="宋体" w:eastAsia="黑体" w:cs="黑体"/>
                <w:i w:val="0"/>
                <w:color w:val="000000"/>
                <w:kern w:val="0"/>
                <w:sz w:val="28"/>
                <w:szCs w:val="28"/>
                <w:u w:val="none"/>
                <w:lang w:val="en-US" w:eastAsia="zh-CN" w:bidi="ar-SA"/>
              </w:rPr>
              <w:t>（部门）</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完成时间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3" w:hRule="atLeast"/>
        </w:trPr>
        <w:tc>
          <w:tcPr>
            <w:tcW w:w="88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一、紧扣“十四五”开好局起好步深化政务公开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8" w:hRule="atLeast"/>
        </w:trPr>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做好各类规划主动公开</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color w:val="000000"/>
                <w:sz w:val="32"/>
                <w:szCs w:val="32"/>
                <w:lang w:val="en-US" w:eastAsia="zh-CN"/>
              </w:rPr>
              <w:t>高质量编制并主动公开医保“</w:t>
            </w:r>
            <w:bookmarkStart w:id="0" w:name="_GoBack"/>
            <w:r>
              <w:rPr>
                <w:rFonts w:hint="eastAsia" w:ascii="仿宋_GB2312" w:hAnsi="仿宋_GB2312" w:eastAsia="仿宋_GB2312" w:cs="仿宋_GB2312"/>
                <w:color w:val="000000"/>
                <w:sz w:val="32"/>
                <w:szCs w:val="32"/>
                <w:lang w:val="en-US" w:eastAsia="zh-CN"/>
              </w:rPr>
              <w:t>十四五</w:t>
            </w:r>
            <w:bookmarkEnd w:id="0"/>
            <w:r>
              <w:rPr>
                <w:rFonts w:hint="eastAsia" w:ascii="仿宋_GB2312" w:hAnsi="仿宋_GB2312" w:eastAsia="仿宋_GB2312" w:cs="仿宋_GB2312"/>
                <w:color w:val="000000"/>
                <w:sz w:val="32"/>
                <w:szCs w:val="32"/>
                <w:lang w:val="en-US" w:eastAsia="zh-CN"/>
              </w:rPr>
              <w:t>”规划</w:t>
            </w:r>
            <w:r>
              <w:rPr>
                <w:rFonts w:hint="eastAsia" w:ascii="仿宋_GB2312" w:hAnsi="仿宋_GB2312" w:eastAsia="仿宋_GB2312" w:cs="仿宋_GB2312"/>
                <w:i w:val="0"/>
                <w:color w:val="000000"/>
                <w:kern w:val="0"/>
                <w:sz w:val="32"/>
                <w:szCs w:val="32"/>
                <w:u w:val="none"/>
                <w:lang w:val="en-US" w:eastAsia="zh-CN" w:bidi="ar-SA"/>
              </w:rPr>
              <w:t>。</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规法处牵头，机关各处室、局属各单位配合。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Times New Roman" w:hAnsi="Times New Roman" w:eastAsia="仿宋_GB2312" w:cs="仿宋_GB2312"/>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仿宋_GB2312"/>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仿宋_GB2312"/>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3" w:hRule="atLeast"/>
        </w:trPr>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做好财政信息公开</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lang w:eastAsia="zh-CN"/>
              </w:rPr>
            </w:pPr>
            <w:r>
              <w:rPr>
                <w:rFonts w:hint="eastAsia" w:ascii="仿宋_GB2312" w:hAnsi="仿宋_GB2312" w:eastAsia="仿宋_GB2312" w:cs="仿宋_GB2312"/>
                <w:i w:val="0"/>
                <w:color w:val="000000"/>
                <w:kern w:val="0"/>
                <w:sz w:val="32"/>
                <w:szCs w:val="32"/>
                <w:u w:val="none"/>
                <w:lang w:val="en-US" w:eastAsia="zh-CN" w:bidi="ar-SA"/>
              </w:rPr>
              <w:t>积极推进部门所属单位预算、决算及相关报表公开，通过集中统一平台定期公布。及时披露广州市社会医疗保险信息。</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局办公室、医保中心牵头，机关各处室、局属各单位配合。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按要求推进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8" w:hRule="atLeast"/>
        </w:trPr>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做好常态化疫情防控信息公开。</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提高新冠肺炎疫情防控信息发布规范化水平，强化政府系统内部信息整合，统一步调对外发声，及时处理回应医保涉疫信息。</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医药服务处、局办公室牵头，机关各处室、局属各单位配合。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88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二、紧扣宏观政策落地见效深化政务公开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8" w:hRule="atLeast"/>
        </w:trPr>
        <w:tc>
          <w:tcPr>
            <w:tcW w:w="13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持续加强重大政策发布解读</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围绕“六稳”工作、落实“六保”任务，聚焦重要医保政策改革举措、重点医保政策落地，提升信息发布规范化水平。在制定医保新政策的同时，同步提供形式多样的政策解读、常见问题解答、案例分析等。</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3"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_GB2312" w:hAnsi="仿宋_GB2312" w:eastAsia="仿宋_GB2312" w:cs="仿宋_GB2312"/>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完善常态化宣传机制，拓宽宣传渠道，定期推送医保政策专题宣传，主动回应社会关切，加强舆情引导。提升宣传指引针对性，针对政策实施过程中产生的新情况、新问题，组织文件起草部门开展专项跟踪解读。</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8" w:hRule="atLeast"/>
        </w:trPr>
        <w:tc>
          <w:tcPr>
            <w:tcW w:w="13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不断改进政策解读工作方式</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按照《广东省政府系统政策解读工作细则（试行）》和《广州市政策文件解读工作实施办法》相关要求，健全政策解读工作机制，规范工作流程。</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3"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_GB2312" w:hAnsi="仿宋_GB2312" w:eastAsia="仿宋_GB2312" w:cs="仿宋_GB2312"/>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加强政策咨询服务，政策制定机关要积极解答政策执行机关和企业、群众的咨询，精准传达政策意图。</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8"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_GB2312" w:hAnsi="仿宋_GB2312" w:eastAsia="仿宋_GB2312" w:cs="仿宋_GB2312"/>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各级政务公开工作机构要加强内部协调，畅通本机关政策咨询渠道。</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3"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_GB2312" w:hAnsi="仿宋_GB2312" w:eastAsia="仿宋_GB2312" w:cs="仿宋_GB2312"/>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有效依托</w:t>
            </w:r>
            <w:r>
              <w:rPr>
                <w:rFonts w:hint="eastAsia" w:ascii="Times New Roman" w:hAnsi="Times New Roman" w:eastAsia="仿宋_GB2312" w:cs="Times New Roman"/>
                <w:i w:val="0"/>
                <w:color w:val="000000"/>
                <w:kern w:val="0"/>
                <w:sz w:val="32"/>
                <w:szCs w:val="32"/>
                <w:u w:val="none"/>
                <w:lang w:val="en-US" w:eastAsia="zh-CN" w:bidi="ar-SA"/>
              </w:rPr>
              <w:t>12345</w:t>
            </w:r>
            <w:r>
              <w:rPr>
                <w:rFonts w:hint="eastAsia" w:ascii="仿宋_GB2312" w:hAnsi="仿宋_GB2312" w:eastAsia="仿宋_GB2312" w:cs="仿宋_GB2312"/>
                <w:i w:val="0"/>
                <w:color w:val="000000"/>
                <w:kern w:val="0"/>
                <w:sz w:val="32"/>
                <w:szCs w:val="32"/>
                <w:u w:val="none"/>
                <w:lang w:val="en-US" w:eastAsia="zh-CN" w:bidi="ar-SA"/>
              </w:rPr>
              <w:t>政务服务便民热线、各级实体服务大厅和政府网站，融合线上线下政府信息公开服务，结合政务公开专区建设、政府信息查阅点、依申请公开受理点等窗口、为企业和群众提供“一号答”、“一站式”的政策咨询综合业务。</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基层服务处牵头，医保中心、医救中心落实，机关各处室配合。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3"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_GB2312" w:hAnsi="仿宋_GB2312" w:eastAsia="仿宋_GB2312" w:cs="仿宋_GB2312"/>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加快形成以国务院政策问答平台为龙头，各地区个部门协同联动、对接共享的政策问答体系。</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8" w:hRule="atLeast"/>
        </w:trPr>
        <w:tc>
          <w:tcPr>
            <w:tcW w:w="13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切实增强回应关切效果。</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紧紧围绕政务舆情背后的实际问题，以解决问题的具体举措实质性回应社会关切。</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机关各处室、医保中心、医救中心依职责落实。</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_GB2312" w:hAnsi="仿宋_GB2312" w:eastAsia="仿宋_GB2312" w:cs="仿宋_GB2312"/>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加强舆情回应台账管理，认真核查已经作出的承诺落实及公开情况，切实维护政府公信力。</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局办公室牵头，机关各处室、医保中心、医救中心依职责落实。</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0"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_GB2312" w:hAnsi="仿宋_GB2312" w:eastAsia="仿宋_GB2312" w:cs="仿宋_GB2312"/>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提前做好重大政策发布前和发布后的解答回应工作，注意收集相关舆情。增强回应工作的主动性，通过网上调研等方式，及时了解掌握社会公众对政策执行效果的反馈与评价，主动回应存在的共性问题，助力政策完善。</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局办公室牵头，机关各处室、医保中心、医救中心依职责落实。</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3"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_GB2312" w:hAnsi="仿宋_GB2312" w:eastAsia="仿宋_GB2312" w:cs="仿宋_GB2312"/>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密切关注涉及疫情防控、医疗、困难群众生活的等方面的舆情并及时作出回应，助力防范化解重大风险。</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局办公室牵头，机关各处室、医保中心、医救中心依职责落实。</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88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SA"/>
              </w:rPr>
              <w:t>三、紧扣强基础抓基层深化政务公开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0" w:hRule="atLeast"/>
        </w:trPr>
        <w:tc>
          <w:tcPr>
            <w:tcW w:w="13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做好政务信息管理工作</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对照中国政府法制信息网行政法规库公布的行政法规国家正式版本，在本机关网站上及时更新本系统实施的行政法规文本。</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规划财务和法规处、局办公室牵头，机关各处室、医保中心、医救中心配合。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 w:hAnsi="仿宋" w:eastAsia="仿宋_GB2312" w:cs="仿宋"/>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推进部门规范性文件统一公开，</w:t>
            </w:r>
            <w:r>
              <w:rPr>
                <w:rFonts w:hint="default" w:ascii="Times New Roman" w:hAnsi="Times New Roman" w:eastAsia="仿宋_GB2312" w:cs="Times New Roman"/>
                <w:i w:val="0"/>
                <w:color w:val="000000"/>
                <w:kern w:val="0"/>
                <w:sz w:val="32"/>
                <w:szCs w:val="32"/>
                <w:u w:val="none"/>
                <w:lang w:val="en-US" w:eastAsia="zh-CN" w:bidi="ar-SA"/>
              </w:rPr>
              <w:t>2021</w:t>
            </w:r>
            <w:r>
              <w:rPr>
                <w:rFonts w:hint="eastAsia" w:ascii="仿宋" w:hAnsi="仿宋" w:eastAsia="仿宋_GB2312" w:cs="仿宋"/>
                <w:i w:val="0"/>
                <w:color w:val="000000"/>
                <w:kern w:val="0"/>
                <w:sz w:val="32"/>
                <w:szCs w:val="32"/>
                <w:u w:val="none"/>
                <w:lang w:val="en-US" w:eastAsia="zh-CN" w:bidi="ar-SA"/>
              </w:rPr>
              <w:t>年底前通过政府网站政府信息公开专栏集中公开本部门现行有效规范性文件，并实现动态更新调整。</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规划财务和法规处、局办公室牵头，机关各处室、医保中心、医救中心配合。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13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完善政务公开平台</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不断完善政府网站集约化建设，构建网上政府的数据底座，确保各级各类政府网站数据集中汇聚在集约平台统一的信息资源库，实现共享共用。推动公开、互动、服务融合发展，推动更多政务服务事项网上办、掌上办、一次办、实现一网通查、一网通答、一网通办、一网通管。</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kern w:val="0"/>
                <w:sz w:val="32"/>
                <w:szCs w:val="32"/>
                <w:u w:val="none"/>
                <w:lang w:val="en-US" w:eastAsia="zh-CN" w:bidi="ar-SA"/>
              </w:rPr>
            </w:pPr>
            <w:r>
              <w:rPr>
                <w:rFonts w:hint="eastAsia" w:ascii="仿宋" w:hAnsi="仿宋" w:eastAsia="仿宋_GB2312" w:cs="仿宋"/>
                <w:i w:val="0"/>
                <w:color w:val="000000"/>
                <w:kern w:val="0"/>
                <w:sz w:val="32"/>
                <w:szCs w:val="32"/>
                <w:u w:val="none"/>
                <w:lang w:val="en-US" w:eastAsia="zh-CN" w:bidi="ar-SA"/>
              </w:rPr>
              <w:t>基层服务处、医保中心牵头，机关各处室、医保中心、医救中心配合。</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kern w:val="0"/>
                <w:sz w:val="32"/>
                <w:szCs w:val="32"/>
                <w:u w:val="none"/>
                <w:lang w:val="en-US" w:eastAsia="zh-CN" w:bidi="ar-SA"/>
              </w:rPr>
            </w:pPr>
          </w:p>
          <w:p>
            <w:pPr>
              <w:pStyle w:val="2"/>
              <w:spacing w:line="560" w:lineRule="exact"/>
              <w:jc w:val="both"/>
              <w:rPr>
                <w:rFonts w:hint="eastAsia"/>
                <w:color w:val="000000"/>
                <w:sz w:val="32"/>
                <w:szCs w:val="32"/>
              </w:rPr>
            </w:pP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宋体" w:hAnsi="宋体" w:eastAsia="宋体" w:cs="宋体"/>
                <w:i w:val="0"/>
                <w:color w:val="000000"/>
                <w:kern w:val="0"/>
                <w:sz w:val="32"/>
                <w:szCs w:val="32"/>
                <w:u w:val="none"/>
                <w:lang w:val="en-US" w:eastAsia="zh-CN" w:bidi="ar-SA"/>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8"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 w:hAnsi="仿宋" w:eastAsia="仿宋_GB2312" w:cs="仿宋"/>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不断完善政务新媒体监管机制，针对一哄而上、重复建设、“娱乐化”、“空壳”等问题有序开展清理整合。建立健全政务新媒体清单管理机制，实行动态更新，杜绝瞒报漏报。严格落实信息发布审核制度，先审后发，确保政务新媒体信息内容安全和平稳高效运行。</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8" w:hRule="atLeast"/>
        </w:trPr>
        <w:tc>
          <w:tcPr>
            <w:tcW w:w="1396"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 w:hAnsi="仿宋" w:eastAsia="仿宋_GB2312" w:cs="仿宋"/>
                <w:i w:val="0"/>
                <w:color w:val="000000"/>
                <w:sz w:val="32"/>
                <w:szCs w:val="32"/>
                <w:u w:val="none"/>
              </w:rPr>
            </w:pPr>
          </w:p>
        </w:tc>
        <w:tc>
          <w:tcPr>
            <w:tcW w:w="434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Times New Roman" w:hAnsi="Times New Roman" w:eastAsia="仿宋_GB2312" w:cs="仿宋_GB2312"/>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年底前，市、区政府网站全部支持互联网协议第</w:t>
            </w:r>
            <w:r>
              <w:rPr>
                <w:rFonts w:hint="eastAsia" w:ascii="Times New Roman" w:hAnsi="Times New Roman" w:eastAsia="仿宋_GB2312" w:cs="仿宋_GB2312"/>
                <w:i w:val="0"/>
                <w:color w:val="000000"/>
                <w:kern w:val="0"/>
                <w:sz w:val="32"/>
                <w:szCs w:val="32"/>
                <w:u w:val="none"/>
                <w:lang w:val="en-US" w:eastAsia="zh-CN" w:bidi="ar-SA"/>
              </w:rPr>
              <w:t>6</w:t>
            </w:r>
            <w:r>
              <w:rPr>
                <w:rFonts w:hint="eastAsia" w:ascii="仿宋_GB2312" w:hAnsi="仿宋_GB2312" w:eastAsia="仿宋_GB2312" w:cs="仿宋_GB2312"/>
                <w:i w:val="0"/>
                <w:color w:val="000000"/>
                <w:kern w:val="0"/>
                <w:sz w:val="32"/>
                <w:szCs w:val="32"/>
                <w:u w:val="none"/>
                <w:lang w:val="en-US" w:eastAsia="zh-CN" w:bidi="ar-SA"/>
              </w:rPr>
              <w:t>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局办公室、规划财务法规处依职责落实。</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 w:hAnsi="仿宋" w:eastAsia="仿宋_GB2312" w:cs="仿宋"/>
                <w:i w:val="0"/>
                <w:color w:val="000000"/>
                <w:sz w:val="32"/>
                <w:szCs w:val="32"/>
                <w:u w:val="none"/>
                <w:lang w:eastAsia="zh-CN"/>
              </w:rPr>
            </w:pPr>
            <w:r>
              <w:rPr>
                <w:rFonts w:hint="eastAsia" w:ascii="仿宋" w:hAnsi="仿宋" w:eastAsia="仿宋_GB2312" w:cs="仿宋"/>
                <w:i w:val="0"/>
                <w:color w:val="000000"/>
                <w:kern w:val="0"/>
                <w:sz w:val="32"/>
                <w:szCs w:val="32"/>
                <w:u w:val="none"/>
                <w:lang w:val="en-US" w:eastAsia="zh-CN" w:bidi="ar-SA"/>
              </w:rPr>
              <w:t>推进基层政务公开标准化规范化</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b w:val="0"/>
                <w:color w:val="000000"/>
                <w:kern w:val="0"/>
                <w:sz w:val="32"/>
                <w:szCs w:val="32"/>
                <w:lang w:val="en-US" w:eastAsia="zh-CN" w:bidi="ar-SA"/>
              </w:rPr>
              <w:t>提升医保“放管服”改革领域政务公开水平。加强医疗保障领域深化“放管服”改革、优化营商环境相关政策政务公开，大力宣传医保政务服务不见面办、“一件事”联办、跨域通办等提升政务服务水平的举措和成效。持续做好政务服务事项标准化、公开化，及时更新各服务大厅政务公开专区信息。</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基层服务处牵头，医保中心、医救中心配合。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8" w:hRule="atLeast"/>
        </w:trPr>
        <w:tc>
          <w:tcPr>
            <w:tcW w:w="139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推进基层政务公开标准化规范化</w:t>
            </w:r>
          </w:p>
        </w:tc>
        <w:tc>
          <w:tcPr>
            <w:tcW w:w="434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对国家出台基层政务公开标准指引的各领域，相关市直部门要积极履行行业主管部门指导监督职责，切实对基层落实执行情况进行跟踪评估。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基层服务处牵头，医保中心、医救中心配合。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88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SA"/>
              </w:rPr>
              <w:t>四、紧扣政府信息公开条例实施深化政务公开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8" w:hRule="atLeast"/>
        </w:trPr>
        <w:tc>
          <w:tcPr>
            <w:tcW w:w="13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提高依申请公开工作质量</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强化服务理念，把依申请公开工作作为服务人民群众生产生活、支持市场主体创业创新的重要方式，更好满足申请人对政府信息的个性化合理需求。</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长</w:t>
            </w:r>
            <w:r>
              <w:rPr>
                <w:rFonts w:hint="eastAsia" w:ascii="仿宋" w:hAnsi="仿宋" w:eastAsia="仿宋_GB2312" w:cs="仿宋"/>
                <w:i w:val="0"/>
                <w:color w:val="000000"/>
                <w:kern w:val="0"/>
                <w:sz w:val="32"/>
                <w:szCs w:val="32"/>
                <w:u w:val="none"/>
                <w:lang w:val="en-US" w:eastAsia="zh-CN" w:bidi="ar-SA"/>
              </w:rPr>
              <w:t>期推</w:t>
            </w:r>
            <w:r>
              <w:rPr>
                <w:rFonts w:hint="eastAsia" w:ascii="Times New Roman" w:hAnsi="Times New Roman" w:eastAsia="仿宋_GB2312" w:cs="Times New Roman"/>
                <w:i w:val="0"/>
                <w:color w:val="000000"/>
                <w:kern w:val="0"/>
                <w:sz w:val="32"/>
                <w:szCs w:val="32"/>
                <w:u w:val="none"/>
                <w:lang w:val="en-US" w:eastAsia="zh-CN" w:bidi="ar-SA"/>
              </w:rPr>
              <w:t>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3"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 w:hAnsi="仿宋" w:eastAsia="仿宋_GB2312" w:cs="仿宋"/>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认真按照政府信息公开申请办理答复规范要求，使用规范的文书模板，进一步建立健全政府信息公开申请登记、审核、办理、答复、归档工作制度，提升答复文书规范化程度。</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2"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 w:hAnsi="仿宋" w:eastAsia="仿宋_GB2312" w:cs="仿宋"/>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正确使用《政府信息公开信息处理费管理办法》，严格依照规定的标准、程序、方式计收信息处理费。</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02" w:hRule="atLeast"/>
        </w:trPr>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加强配套制度建设</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各级行政机关要严格落实《国务院办公厅政府信息与政务公开办公室关于政府信息公开年度报告有关事关事项的通知》（国办公开办函〔</w:t>
            </w:r>
            <w:r>
              <w:rPr>
                <w:rFonts w:hint="eastAsia" w:ascii="Times New Roman" w:hAnsi="Times New Roman" w:eastAsia="仿宋_GB2312" w:cs="仿宋"/>
                <w:i w:val="0"/>
                <w:color w:val="000000"/>
                <w:kern w:val="0"/>
                <w:sz w:val="32"/>
                <w:szCs w:val="32"/>
                <w:u w:val="none"/>
                <w:lang w:val="en-US" w:eastAsia="zh-CN" w:bidi="ar-SA"/>
              </w:rPr>
              <w:t>2019</w:t>
            </w:r>
            <w:r>
              <w:rPr>
                <w:rFonts w:hint="eastAsia" w:ascii="仿宋" w:hAnsi="仿宋" w:eastAsia="仿宋_GB2312" w:cs="仿宋"/>
                <w:i w:val="0"/>
                <w:color w:val="000000"/>
                <w:kern w:val="0"/>
                <w:sz w:val="32"/>
                <w:szCs w:val="32"/>
                <w:u w:val="none"/>
                <w:lang w:val="en-US" w:eastAsia="zh-CN" w:bidi="ar-SA"/>
              </w:rPr>
              <w:t>〕</w:t>
            </w:r>
            <w:r>
              <w:rPr>
                <w:rFonts w:hint="eastAsia" w:ascii="Times New Roman" w:hAnsi="Times New Roman" w:eastAsia="仿宋_GB2312" w:cs="仿宋"/>
                <w:i w:val="0"/>
                <w:color w:val="000000"/>
                <w:kern w:val="0"/>
                <w:sz w:val="32"/>
                <w:szCs w:val="32"/>
                <w:u w:val="none"/>
                <w:lang w:val="en-US" w:eastAsia="zh-CN" w:bidi="ar-SA"/>
              </w:rPr>
              <w:t>60</w:t>
            </w:r>
            <w:r>
              <w:rPr>
                <w:rFonts w:hint="eastAsia" w:ascii="仿宋" w:hAnsi="仿宋" w:eastAsia="仿宋_GB2312" w:cs="仿宋"/>
                <w:i w:val="0"/>
                <w:color w:val="000000"/>
                <w:kern w:val="0"/>
                <w:sz w:val="32"/>
                <w:szCs w:val="32"/>
                <w:u w:val="none"/>
                <w:lang w:val="en-US" w:eastAsia="zh-CN" w:bidi="ar-SA"/>
              </w:rPr>
              <w:t>号）文件要求，规范政府信息公开工作年度报告格式和内容，提高年报基础数据的准确度，强化数据的分析提炼，向社会公开更多有价值的基础性数据，进一步提升政府信息公开工作年度报告质量。</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按要求开展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88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SA"/>
              </w:rPr>
              <w:t>五、紧扣抓保障促落实深化政务公开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3" w:hRule="atLeast"/>
        </w:trPr>
        <w:tc>
          <w:tcPr>
            <w:tcW w:w="13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加强工作指导</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市直各部门、各区政府主要负责同志，每年至少听取</w:t>
            </w:r>
            <w:r>
              <w:rPr>
                <w:rFonts w:hint="eastAsia" w:ascii="Times New Roman" w:hAnsi="Times New Roman" w:eastAsia="仿宋_GB2312" w:cs="仿宋"/>
                <w:i w:val="0"/>
                <w:color w:val="000000"/>
                <w:kern w:val="0"/>
                <w:sz w:val="32"/>
                <w:szCs w:val="32"/>
                <w:u w:val="none"/>
                <w:lang w:val="en-US" w:eastAsia="zh-CN" w:bidi="ar-SA"/>
              </w:rPr>
              <w:t>1</w:t>
            </w:r>
            <w:r>
              <w:rPr>
                <w:rFonts w:hint="eastAsia" w:ascii="仿宋" w:hAnsi="仿宋" w:eastAsia="仿宋_GB2312" w:cs="仿宋"/>
                <w:i w:val="0"/>
                <w:color w:val="000000"/>
                <w:kern w:val="0"/>
                <w:sz w:val="32"/>
                <w:szCs w:val="32"/>
                <w:u w:val="none"/>
                <w:lang w:val="en-US" w:eastAsia="zh-CN" w:bidi="ar-SA"/>
              </w:rPr>
              <w:t>次政务公开工作汇报，专题研究部署政务公开工作。</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局办公室。</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eastAsia" w:ascii="Times New Roman" w:hAnsi="Times New Roman" w:eastAsia="仿宋_GB2312" w:cs="Times New Roman"/>
                <w:i w:val="0"/>
                <w:color w:val="000000"/>
                <w:kern w:val="0"/>
                <w:sz w:val="32"/>
                <w:szCs w:val="32"/>
                <w:u w:val="none"/>
                <w:lang w:val="en-US" w:eastAsia="zh-CN" w:bidi="ar-SA"/>
              </w:rPr>
              <w:t>12</w:t>
            </w:r>
            <w:r>
              <w:rPr>
                <w:rFonts w:hint="eastAsia" w:ascii="宋体" w:hAnsi="宋体" w:eastAsia="宋体" w:cs="宋体"/>
                <w:i w:val="0"/>
                <w:color w:val="000000"/>
                <w:kern w:val="0"/>
                <w:sz w:val="32"/>
                <w:szCs w:val="32"/>
                <w:u w:val="none"/>
                <w:lang w:val="en-US" w:eastAsia="zh-CN" w:bidi="ar-SA"/>
              </w:rPr>
              <w:t>月</w:t>
            </w:r>
            <w:r>
              <w:rPr>
                <w:rFonts w:hint="eastAsia"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3" w:hRule="atLeast"/>
        </w:trPr>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 w:hAnsi="仿宋" w:eastAsia="仿宋_GB2312" w:cs="仿宋"/>
                <w:i w:val="0"/>
                <w:color w:val="000000"/>
                <w:sz w:val="32"/>
                <w:szCs w:val="32"/>
                <w:u w:val="none"/>
              </w:rPr>
            </w:pPr>
          </w:p>
        </w:tc>
        <w:tc>
          <w:tcPr>
            <w:tcW w:w="4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加强队伍建设，定期组织开展政府信息公开工作培训和研讨交流，不断提升业务能力，加强基层政府政策解读、依申请公开工作业务培训和案例指导。</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局办公室牵头，规法处、医保中心、医救中心，机关各处室配合。</w:t>
            </w:r>
          </w:p>
        </w:tc>
        <w:tc>
          <w:tcPr>
            <w:tcW w:w="117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长期推进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396"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outlineLvl w:val="9"/>
              <w:rPr>
                <w:rFonts w:hint="eastAsia" w:ascii="仿宋" w:hAnsi="仿宋" w:eastAsia="仿宋_GB2312" w:cs="仿宋"/>
                <w:i w:val="0"/>
                <w:color w:val="000000"/>
                <w:sz w:val="32"/>
                <w:szCs w:val="32"/>
                <w:u w:val="none"/>
              </w:rPr>
            </w:pPr>
          </w:p>
        </w:tc>
        <w:tc>
          <w:tcPr>
            <w:tcW w:w="434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依法规范开展政府信息公开工作考核、评议。避免简单地以第三方评估代替应由政府自身开展的考核、评议，正确对待社会上各类政务公开第三方评估结果，原则上不以行政机关名义领取民间奖励，不选择性参加评估结果对本机关有利的发布会，论坛等相关活动。</w:t>
            </w:r>
          </w:p>
        </w:tc>
        <w:tc>
          <w:tcPr>
            <w:tcW w:w="194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局办公室牵头，机关各处室、局属各单位配合。</w:t>
            </w:r>
          </w:p>
        </w:tc>
        <w:tc>
          <w:tcPr>
            <w:tcW w:w="1174" w:type="dxa"/>
            <w:tcBorders>
              <w:top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32"/>
                <w:szCs w:val="32"/>
                <w:u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SA"/>
              </w:rPr>
              <w:t>2021</w:t>
            </w:r>
            <w:r>
              <w:rPr>
                <w:rFonts w:hint="eastAsia" w:ascii="仿宋_GB2312" w:hAnsi="仿宋_GB2312" w:eastAsia="仿宋_GB2312" w:cs="仿宋_GB2312"/>
                <w:i w:val="0"/>
                <w:color w:val="000000"/>
                <w:kern w:val="0"/>
                <w:sz w:val="32"/>
                <w:szCs w:val="32"/>
                <w:u w:val="none"/>
                <w:lang w:val="en-US" w:eastAsia="zh-CN" w:bidi="ar-SA"/>
              </w:rPr>
              <w:t>年</w:t>
            </w:r>
            <w:r>
              <w:rPr>
                <w:rFonts w:hint="default"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default"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3" w:hRule="atLeast"/>
        </w:trPr>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狠抓任务落实。</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建立本地区、本系统</w:t>
            </w:r>
            <w:r>
              <w:rPr>
                <w:rFonts w:hint="eastAsia" w:ascii="Times New Roman" w:hAnsi="Times New Roman" w:eastAsia="仿宋_GB2312" w:cs="仿宋"/>
                <w:i w:val="0"/>
                <w:color w:val="000000"/>
                <w:kern w:val="0"/>
                <w:sz w:val="32"/>
                <w:szCs w:val="32"/>
                <w:u w:val="none"/>
                <w:lang w:val="en-US" w:eastAsia="zh-CN" w:bidi="ar-SA"/>
              </w:rPr>
              <w:t>2021</w:t>
            </w:r>
            <w:r>
              <w:rPr>
                <w:rFonts w:hint="eastAsia" w:ascii="仿宋" w:hAnsi="仿宋" w:eastAsia="仿宋_GB2312" w:cs="仿宋"/>
                <w:i w:val="0"/>
                <w:color w:val="000000"/>
                <w:kern w:val="0"/>
                <w:sz w:val="32"/>
                <w:szCs w:val="32"/>
                <w:u w:val="none"/>
                <w:lang w:val="en-US" w:eastAsia="zh-CN" w:bidi="ar-SA"/>
              </w:rPr>
              <w:t>年政务公开工作重点任务台账，明确具体分工，实时跟进推动，确保落实到位。定期对上一年度工作要点落实情况开展“回头看”，逐项核查落实情况。</w:t>
            </w:r>
          </w:p>
        </w:tc>
        <w:tc>
          <w:tcPr>
            <w:tcW w:w="1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机关各处室牵头、局属各单位配合。</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SA"/>
              </w:rPr>
              <w:t>202</w:t>
            </w:r>
            <w:r>
              <w:rPr>
                <w:rFonts w:hint="eastAsia" w:ascii="Times New Roman" w:hAnsi="Times New Roman" w:eastAsia="仿宋_GB2312" w:cs="Times New Roman"/>
                <w:i w:val="0"/>
                <w:color w:val="000000"/>
                <w:kern w:val="0"/>
                <w:sz w:val="32"/>
                <w:szCs w:val="32"/>
                <w:u w:val="none"/>
                <w:lang w:val="en-US" w:eastAsia="zh-CN" w:bidi="ar-SA"/>
              </w:rPr>
              <w:t>1</w:t>
            </w:r>
            <w:r>
              <w:rPr>
                <w:rFonts w:hint="eastAsia" w:ascii="仿宋_GB2312" w:hAnsi="仿宋_GB2312" w:eastAsia="仿宋_GB2312" w:cs="仿宋_GB2312"/>
                <w:i w:val="0"/>
                <w:color w:val="000000"/>
                <w:kern w:val="0"/>
                <w:sz w:val="32"/>
                <w:szCs w:val="32"/>
                <w:u w:val="none"/>
                <w:lang w:val="en-US" w:eastAsia="zh-CN" w:bidi="ar-SA"/>
              </w:rPr>
              <w:t>年</w:t>
            </w:r>
            <w:r>
              <w:rPr>
                <w:rFonts w:hint="default" w:ascii="Times New Roman" w:hAnsi="Times New Roman" w:eastAsia="仿宋_GB2312" w:cs="Times New Roman"/>
                <w:i w:val="0"/>
                <w:color w:val="000000"/>
                <w:kern w:val="0"/>
                <w:sz w:val="32"/>
                <w:szCs w:val="32"/>
                <w:u w:val="none"/>
                <w:lang w:val="en-US" w:eastAsia="zh-CN" w:bidi="ar-SA"/>
              </w:rPr>
              <w:t>9</w:t>
            </w:r>
            <w:r>
              <w:rPr>
                <w:rFonts w:hint="eastAsia" w:ascii="Times New Roman" w:hAnsi="Times New Roman" w:eastAsia="仿宋_GB2312" w:cs="Times New Roman"/>
                <w:i w:val="0"/>
                <w:color w:val="000000"/>
                <w:kern w:val="0"/>
                <w:sz w:val="32"/>
                <w:szCs w:val="32"/>
                <w:u w:val="none"/>
                <w:lang w:val="en-US" w:eastAsia="zh-CN" w:bidi="ar-SA"/>
              </w:rPr>
              <w:t>月25</w:t>
            </w:r>
            <w:r>
              <w:rPr>
                <w:rFonts w:hint="eastAsia" w:ascii="仿宋_GB2312" w:hAnsi="仿宋_GB2312" w:eastAsia="仿宋_GB2312" w:cs="仿宋_GB2312"/>
                <w:i w:val="0"/>
                <w:color w:val="000000"/>
                <w:kern w:val="0"/>
                <w:sz w:val="32"/>
                <w:szCs w:val="32"/>
                <w:u w:val="none"/>
                <w:lang w:val="en-US" w:eastAsia="zh-CN" w:bidi="ar-SA"/>
              </w:rPr>
              <w:t>日前</w:t>
            </w:r>
            <w:r>
              <w:rPr>
                <w:rFonts w:hint="eastAsia" w:ascii="Times New Roman" w:hAnsi="Times New Roman" w:eastAsia="仿宋_GB2312" w:cs="Times New Roman"/>
                <w:i w:val="0"/>
                <w:color w:val="000000"/>
                <w:kern w:val="0"/>
                <w:sz w:val="32"/>
                <w:szCs w:val="32"/>
                <w:u w:val="none"/>
                <w:lang w:val="en-US" w:eastAsia="zh-CN" w:bidi="ar-SA"/>
              </w:rPr>
              <w:t>、</w:t>
            </w:r>
            <w:r>
              <w:rPr>
                <w:rFonts w:hint="default" w:ascii="Times New Roman" w:hAnsi="Times New Roman" w:eastAsia="仿宋_GB2312" w:cs="Times New Roman"/>
                <w:i w:val="0"/>
                <w:color w:val="000000"/>
                <w:kern w:val="0"/>
                <w:sz w:val="32"/>
                <w:szCs w:val="32"/>
                <w:u w:val="none"/>
                <w:lang w:val="en-US" w:eastAsia="zh-CN" w:bidi="ar-SA"/>
              </w:rPr>
              <w:t>12</w:t>
            </w:r>
            <w:r>
              <w:rPr>
                <w:rFonts w:hint="eastAsia" w:ascii="仿宋_GB2312" w:hAnsi="仿宋_GB2312" w:eastAsia="仿宋_GB2312" w:cs="仿宋_GB2312"/>
                <w:i w:val="0"/>
                <w:color w:val="000000"/>
                <w:kern w:val="0"/>
                <w:sz w:val="32"/>
                <w:szCs w:val="32"/>
                <w:u w:val="none"/>
                <w:lang w:val="en-US" w:eastAsia="zh-CN" w:bidi="ar-SA"/>
              </w:rPr>
              <w:t>月</w:t>
            </w:r>
            <w:r>
              <w:rPr>
                <w:rFonts w:hint="default" w:ascii="Times New Roman" w:hAnsi="Times New Roman" w:eastAsia="仿宋_GB2312" w:cs="Times New Roman"/>
                <w:i w:val="0"/>
                <w:color w:val="000000"/>
                <w:kern w:val="0"/>
                <w:sz w:val="32"/>
                <w:szCs w:val="32"/>
                <w:u w:val="none"/>
                <w:lang w:val="en-US" w:eastAsia="zh-CN" w:bidi="ar-SA"/>
              </w:rPr>
              <w:t>30</w:t>
            </w:r>
            <w:r>
              <w:rPr>
                <w:rFonts w:hint="eastAsia" w:ascii="仿宋_GB2312" w:hAnsi="仿宋_GB2312" w:eastAsia="仿宋_GB2312" w:cs="仿宋_GB2312"/>
                <w:i w:val="0"/>
                <w:color w:val="000000"/>
                <w:kern w:val="0"/>
                <w:sz w:val="32"/>
                <w:szCs w:val="32"/>
                <w:u w:val="none"/>
                <w:lang w:val="en-US" w:eastAsia="zh-CN" w:bidi="ar-SA"/>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74"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 w:hAnsi="仿宋" w:eastAsia="仿宋_GB2312" w:cs="仿宋"/>
                <w:i w:val="0"/>
                <w:color w:val="000000"/>
                <w:sz w:val="32"/>
                <w:szCs w:val="32"/>
                <w:u w:val="none"/>
              </w:rPr>
            </w:pPr>
          </w:p>
        </w:tc>
        <w:tc>
          <w:tcPr>
            <w:tcW w:w="4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将本要点落实情况纳入政府信息公开工作年度报告予以公开，接受社会监督。</w:t>
            </w:r>
          </w:p>
        </w:tc>
        <w:tc>
          <w:tcPr>
            <w:tcW w:w="1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_GB2312" w:cs="仿宋"/>
                <w:i w:val="0"/>
                <w:color w:val="000000"/>
                <w:sz w:val="32"/>
                <w:szCs w:val="32"/>
                <w:u w:val="none"/>
              </w:rPr>
            </w:pPr>
            <w:r>
              <w:rPr>
                <w:rFonts w:hint="eastAsia" w:ascii="仿宋" w:hAnsi="仿宋" w:eastAsia="仿宋_GB2312" w:cs="仿宋"/>
                <w:i w:val="0"/>
                <w:color w:val="000000"/>
                <w:kern w:val="0"/>
                <w:sz w:val="32"/>
                <w:szCs w:val="32"/>
                <w:u w:val="none"/>
                <w:lang w:val="en-US" w:eastAsia="zh-CN" w:bidi="ar-SA"/>
              </w:rPr>
              <w:t>局办公室牵头，机关各处室、局属各单位配合。</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宋体" w:hAnsi="宋体" w:eastAsia="宋体" w:cs="宋体"/>
                <w:i w:val="0"/>
                <w:color w:val="000000"/>
                <w:sz w:val="32"/>
                <w:szCs w:val="32"/>
                <w:u w:val="none"/>
              </w:rPr>
            </w:pPr>
            <w:r>
              <w:rPr>
                <w:rFonts w:hint="eastAsia" w:ascii="Times New Roman" w:hAnsi="Times New Roman" w:eastAsia="仿宋_GB2312" w:cs="Times New Roman"/>
                <w:i w:val="0"/>
                <w:color w:val="000000"/>
                <w:kern w:val="0"/>
                <w:sz w:val="32"/>
                <w:szCs w:val="32"/>
                <w:u w:val="none"/>
                <w:lang w:val="en-US" w:eastAsia="zh-CN" w:bidi="ar-SA"/>
              </w:rPr>
              <w:t>按要求开展</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z w:val="32"/>
          <w:szCs w:val="32"/>
          <w:lang w:val="en-US" w:eastAsia="zh-CN"/>
        </w:rPr>
      </w:pPr>
    </w:p>
    <w:p>
      <w:pPr>
        <w:pStyle w:val="2"/>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p>
    <w:p>
      <w:pPr>
        <w:pStyle w:val="2"/>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p>
    <w:p>
      <w:pPr>
        <w:pStyle w:val="2"/>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p>
    <w:p>
      <w:pPr>
        <w:pStyle w:val="2"/>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309" w:rightChars="-147" w:firstLine="0" w:firstLineChars="0"/>
        <w:jc w:val="both"/>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公开方式</w:t>
      </w:r>
      <w:r>
        <w:rPr>
          <w:rFonts w:hint="eastAsia" w:ascii="仿宋" w:hAnsi="仿宋" w:eastAsia="仿宋" w:cs="仿宋"/>
          <w:sz w:val="32"/>
          <w:szCs w:val="32"/>
          <w:lang w:eastAsia="zh-CN"/>
        </w:rPr>
        <w:t>：主动公开</w:t>
      </w:r>
    </w:p>
    <w:p>
      <w:pPr>
        <w:rPr>
          <w:rFonts w:hint="eastAsia"/>
          <w:lang w:val="en-US" w:eastAsia="zh-CN"/>
        </w:rPr>
      </w:pPr>
    </w:p>
    <w:p/>
    <w:sectPr>
      <w:pgSz w:w="11906" w:h="16838"/>
      <w:pgMar w:top="2098" w:right="1474" w:bottom="1984"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C27F5"/>
    <w:rsid w:val="326C27F5"/>
    <w:rsid w:val="FA5AD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unhideWhenUsed/>
    <w:qFormat/>
    <w:uiPriority w:val="9"/>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2021-07-20T15:38:00Z</dcterms:created>
  <dc:creator>未定义</dc:creator>
  <cp:lastModifiedBy>bgs</cp:lastModifiedBy>
  <dcterms:modified xsi:type="dcterms:W3CDTF">2024-03-11T15:13:16Z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F8D002E8FE3715850CAFEE6511B032E8</vt:lpwstr>
  </property>
</Properties>
</file>