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CCE" w:rsidRDefault="00D75CCE" w:rsidP="00D75CCE">
      <w:pPr>
        <w:snapToGrid w:val="0"/>
        <w:spacing w:line="540" w:lineRule="exact"/>
        <w:ind w:left="1574" w:hangingChars="492" w:hanging="1574"/>
        <w:rPr>
          <w:rFonts w:ascii="黑体" w:eastAsia="黑体" w:hAnsi="黑体"/>
          <w:kern w:val="0"/>
          <w:sz w:val="32"/>
          <w:szCs w:val="32"/>
        </w:rPr>
      </w:pPr>
      <w:r>
        <w:rPr>
          <w:rFonts w:ascii="黑体" w:eastAsia="黑体" w:hAnsi="黑体" w:hint="eastAsia"/>
          <w:kern w:val="0"/>
          <w:sz w:val="32"/>
          <w:szCs w:val="32"/>
        </w:rPr>
        <w:t>附件1</w:t>
      </w:r>
    </w:p>
    <w:p w:rsidR="00D75CCE" w:rsidRDefault="00D75CCE" w:rsidP="00D75CCE">
      <w:pPr>
        <w:snapToGrid w:val="0"/>
        <w:spacing w:line="540" w:lineRule="exact"/>
        <w:ind w:left="1574" w:hangingChars="492" w:hanging="1574"/>
        <w:rPr>
          <w:rFonts w:ascii="黑体" w:eastAsia="黑体" w:hAnsi="黑体" w:hint="eastAsia"/>
          <w:kern w:val="0"/>
          <w:sz w:val="32"/>
          <w:szCs w:val="32"/>
        </w:rPr>
      </w:pPr>
      <w:r>
        <w:rPr>
          <w:rFonts w:ascii="黑体" w:eastAsia="黑体" w:hAnsi="黑体" w:hint="eastAsia"/>
          <w:kern w:val="0"/>
          <w:sz w:val="32"/>
          <w:szCs w:val="32"/>
        </w:rPr>
        <w:t xml:space="preserve"> </w:t>
      </w:r>
    </w:p>
    <w:p w:rsidR="00D75CCE" w:rsidRDefault="00D75CCE" w:rsidP="00D75CCE">
      <w:pPr>
        <w:pStyle w:val="a3"/>
        <w:shd w:val="clear" w:color="auto" w:fill="FFFFFF"/>
        <w:spacing w:before="0" w:beforeAutospacing="0" w:after="0" w:afterAutospacing="0" w:line="560" w:lineRule="exact"/>
        <w:jc w:val="center"/>
        <w:rPr>
          <w:rFonts w:hint="eastAsia"/>
          <w:b/>
          <w:bCs/>
          <w:sz w:val="44"/>
          <w:szCs w:val="44"/>
        </w:rPr>
      </w:pPr>
      <w:r>
        <w:rPr>
          <w:rFonts w:hint="eastAsia"/>
          <w:b/>
          <w:bCs/>
          <w:sz w:val="44"/>
          <w:szCs w:val="44"/>
        </w:rPr>
        <w:t>广州市来穗人员积分制服务管理</w:t>
      </w:r>
    </w:p>
    <w:p w:rsidR="00D75CCE" w:rsidRDefault="00D75CCE" w:rsidP="00D75CCE">
      <w:pPr>
        <w:pStyle w:val="a3"/>
        <w:shd w:val="clear" w:color="auto" w:fill="FFFFFF"/>
        <w:spacing w:before="0" w:beforeAutospacing="0" w:after="0" w:afterAutospacing="0" w:line="560" w:lineRule="exact"/>
        <w:jc w:val="center"/>
        <w:rPr>
          <w:rFonts w:hint="eastAsia"/>
          <w:b/>
          <w:bCs/>
          <w:sz w:val="44"/>
          <w:szCs w:val="44"/>
        </w:rPr>
      </w:pPr>
      <w:r>
        <w:rPr>
          <w:rFonts w:hint="eastAsia"/>
          <w:b/>
          <w:bCs/>
          <w:sz w:val="44"/>
          <w:szCs w:val="44"/>
        </w:rPr>
        <w:t xml:space="preserve">指标体系及分值表 </w:t>
      </w:r>
    </w:p>
    <w:p w:rsidR="00D75CCE" w:rsidRDefault="00D75CCE" w:rsidP="00D75CCE">
      <w:pPr>
        <w:pStyle w:val="a3"/>
        <w:shd w:val="clear" w:color="auto" w:fill="FFFFFF"/>
        <w:spacing w:before="0" w:beforeAutospacing="0" w:after="0" w:afterAutospacing="0" w:line="560" w:lineRule="exact"/>
        <w:jc w:val="center"/>
        <w:rPr>
          <w:rFonts w:hint="eastAsia"/>
          <w:b/>
          <w:bCs/>
          <w:sz w:val="44"/>
          <w:szCs w:val="44"/>
        </w:rPr>
      </w:pPr>
      <w:r>
        <w:rPr>
          <w:rFonts w:hint="eastAsia"/>
          <w:b/>
          <w:bCs/>
          <w:sz w:val="44"/>
          <w:szCs w:val="44"/>
        </w:rPr>
        <w:t xml:space="preserve">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720"/>
        <w:gridCol w:w="1276"/>
        <w:gridCol w:w="4484"/>
        <w:gridCol w:w="2340"/>
      </w:tblGrid>
      <w:tr w:rsidR="00D75CCE" w:rsidTr="00D75CCE">
        <w:trPr>
          <w:trHeight w:val="598"/>
          <w:jc w:val="center"/>
        </w:trPr>
        <w:tc>
          <w:tcPr>
            <w:tcW w:w="7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黑体" w:eastAsia="黑体" w:hAnsi="黑体" w:hint="eastAsia"/>
                <w:color w:val="333333"/>
              </w:rPr>
              <w:t>类别</w:t>
            </w: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黑体" w:eastAsia="黑体" w:hAnsi="黑体" w:hint="eastAsia"/>
                <w:color w:val="333333"/>
              </w:rPr>
              <w:t>序号</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黑体" w:eastAsia="黑体" w:hAnsi="黑体" w:hint="eastAsia"/>
                <w:color w:val="333333"/>
              </w:rPr>
              <w:t>指标</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黑体" w:eastAsia="黑体" w:hAnsi="黑体" w:hint="eastAsia"/>
                <w:color w:val="333333"/>
              </w:rPr>
              <w:t>指标内容及分值</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黑体" w:eastAsia="黑体" w:hAnsi="黑体" w:hint="eastAsia"/>
                <w:color w:val="333333"/>
              </w:rPr>
              <w:t>备注</w:t>
            </w:r>
          </w:p>
        </w:tc>
      </w:tr>
      <w:tr w:rsidR="00D75CCE" w:rsidTr="00D75CCE">
        <w:trPr>
          <w:trHeight w:val="3940"/>
          <w:jc w:val="center"/>
        </w:trPr>
        <w:tc>
          <w:tcPr>
            <w:tcW w:w="720"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75CCE" w:rsidRDefault="00D75CCE">
            <w:pPr>
              <w:pStyle w:val="a3"/>
              <w:spacing w:before="0" w:beforeAutospacing="0" w:after="0" w:afterAutospacing="0" w:line="240" w:lineRule="atLeast"/>
              <w:jc w:val="center"/>
              <w:rPr>
                <w:rFonts w:ascii="仿宋_GB2312" w:eastAsia="仿宋_GB2312" w:hAnsi="Calibri"/>
                <w:color w:val="333333"/>
              </w:rPr>
            </w:pPr>
            <w:r>
              <w:rPr>
                <w:rFonts w:ascii="仿宋_GB2312" w:eastAsia="仿宋_GB2312" w:hAnsi="Calibri" w:hint="eastAsia"/>
                <w:color w:val="333333"/>
              </w:rPr>
              <w:t>基</w:t>
            </w:r>
          </w:p>
          <w:p w:rsidR="00D75CCE" w:rsidRDefault="00D75CCE">
            <w:pPr>
              <w:pStyle w:val="a3"/>
              <w:spacing w:before="0" w:beforeAutospacing="0" w:after="0" w:afterAutospacing="0" w:line="240" w:lineRule="atLeast"/>
              <w:jc w:val="center"/>
              <w:rPr>
                <w:rFonts w:ascii="仿宋_GB2312" w:eastAsia="仿宋_GB2312" w:hAnsi="Calibri" w:hint="eastAsia"/>
                <w:color w:val="333333"/>
              </w:rPr>
            </w:pPr>
          </w:p>
          <w:p w:rsidR="00D75CCE" w:rsidRDefault="00D75CCE">
            <w:pPr>
              <w:pStyle w:val="a3"/>
              <w:spacing w:before="0" w:beforeAutospacing="0" w:after="0" w:afterAutospacing="0" w:line="240" w:lineRule="atLeast"/>
              <w:jc w:val="center"/>
              <w:rPr>
                <w:rFonts w:ascii="仿宋_GB2312" w:eastAsia="仿宋_GB2312" w:hAnsi="Calibri" w:hint="eastAsia"/>
                <w:color w:val="333333"/>
              </w:rPr>
            </w:pPr>
            <w:r>
              <w:rPr>
                <w:rFonts w:ascii="仿宋_GB2312" w:eastAsia="仿宋_GB2312" w:hAnsi="Calibri" w:hint="eastAsia"/>
                <w:color w:val="333333"/>
              </w:rPr>
              <w:t>础</w:t>
            </w:r>
          </w:p>
          <w:p w:rsidR="00D75CCE" w:rsidRDefault="00D75CCE">
            <w:pPr>
              <w:pStyle w:val="a3"/>
              <w:spacing w:before="0" w:beforeAutospacing="0" w:after="0" w:afterAutospacing="0" w:line="240" w:lineRule="atLeast"/>
              <w:jc w:val="center"/>
              <w:rPr>
                <w:rFonts w:ascii="仿宋_GB2312" w:eastAsia="仿宋_GB2312" w:hAnsi="Calibri" w:hint="eastAsia"/>
                <w:color w:val="333333"/>
              </w:rPr>
            </w:pPr>
          </w:p>
          <w:p w:rsidR="00D75CCE" w:rsidRDefault="00D75CCE">
            <w:pPr>
              <w:pStyle w:val="a3"/>
              <w:spacing w:before="0" w:beforeAutospacing="0" w:after="0" w:afterAutospacing="0" w:line="240" w:lineRule="atLeast"/>
              <w:jc w:val="center"/>
              <w:rPr>
                <w:rFonts w:ascii="仿宋_GB2312" w:eastAsia="仿宋_GB2312" w:hAnsi="Calibri" w:hint="eastAsia"/>
                <w:color w:val="333333"/>
              </w:rPr>
            </w:pPr>
            <w:r>
              <w:rPr>
                <w:rFonts w:ascii="仿宋_GB2312" w:eastAsia="仿宋_GB2312" w:hAnsi="Calibri" w:hint="eastAsia"/>
                <w:color w:val="333333"/>
              </w:rPr>
              <w:t>指</w:t>
            </w:r>
          </w:p>
          <w:p w:rsidR="00D75CCE" w:rsidRDefault="00D75CCE">
            <w:pPr>
              <w:pStyle w:val="a3"/>
              <w:spacing w:before="0" w:beforeAutospacing="0" w:after="0" w:afterAutospacing="0" w:line="240" w:lineRule="atLeast"/>
              <w:jc w:val="center"/>
              <w:rPr>
                <w:rFonts w:ascii="仿宋_GB2312" w:eastAsia="仿宋_GB2312" w:hAnsi="Calibri" w:hint="eastAsia"/>
                <w:color w:val="333333"/>
              </w:rPr>
            </w:pPr>
          </w:p>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仿宋_GB2312" w:eastAsia="仿宋_GB2312" w:hAnsi="Calibri" w:hint="eastAsia"/>
                <w:color w:val="333333"/>
              </w:rPr>
              <w:t>标</w:t>
            </w: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Times New Roman" w:hAnsi="Times New Roman" w:cs="Times New Roman"/>
                <w:color w:val="333333"/>
              </w:rPr>
              <w:t>1</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仿宋_GB2312" w:eastAsia="仿宋_GB2312" w:hAnsi="Calibri" w:hint="eastAsia"/>
                <w:color w:val="333333"/>
              </w:rPr>
              <w:t>合法稳定住所</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Calibri" w:hAnsi="Calibri"/>
                <w:color w:val="333333"/>
                <w:sz w:val="21"/>
                <w:szCs w:val="21"/>
              </w:rPr>
            </w:pPr>
            <w:r>
              <w:rPr>
                <w:rFonts w:ascii="Times New Roman" w:hAnsi="Times New Roman" w:cs="Times New Roman"/>
                <w:color w:val="333333"/>
              </w:rPr>
              <w:t xml:space="preserve">    1</w:t>
            </w:r>
            <w:r>
              <w:rPr>
                <w:rFonts w:ascii="仿宋_GB2312" w:eastAsia="仿宋_GB2312" w:hAnsi="Calibri" w:hint="eastAsia"/>
                <w:color w:val="333333"/>
              </w:rPr>
              <w:t>.在广州市办理《广东省居住证》，每满</w:t>
            </w:r>
            <w:r>
              <w:rPr>
                <w:rFonts w:ascii="Times New Roman" w:hAnsi="Times New Roman" w:cs="Times New Roman"/>
                <w:color w:val="333333"/>
              </w:rPr>
              <w:t>1</w:t>
            </w:r>
            <w:r>
              <w:rPr>
                <w:rFonts w:ascii="仿宋_GB2312" w:eastAsia="仿宋_GB2312" w:hAnsi="Calibri" w:hint="eastAsia"/>
                <w:color w:val="333333"/>
              </w:rPr>
              <w:t>年计</w:t>
            </w:r>
            <w:r>
              <w:rPr>
                <w:rFonts w:ascii="Times New Roman" w:hAnsi="Times New Roman" w:cs="Times New Roman"/>
                <w:color w:val="333333"/>
              </w:rPr>
              <w:t>3</w:t>
            </w:r>
            <w:r>
              <w:rPr>
                <w:rFonts w:ascii="仿宋_GB2312" w:eastAsia="仿宋_GB2312" w:hAnsi="Calibri" w:hint="eastAsia"/>
                <w:color w:val="333333"/>
              </w:rPr>
              <w:t>分；</w:t>
            </w:r>
          </w:p>
          <w:p w:rsidR="00D75CCE" w:rsidRDefault="00D75CCE">
            <w:pPr>
              <w:pStyle w:val="a3"/>
              <w:spacing w:before="0" w:beforeAutospacing="0" w:after="0" w:afterAutospacing="0" w:line="360" w:lineRule="exact"/>
              <w:jc w:val="both"/>
              <w:rPr>
                <w:rFonts w:ascii="Calibri" w:hAnsi="Calibri"/>
                <w:color w:val="333333"/>
                <w:sz w:val="21"/>
                <w:szCs w:val="21"/>
              </w:rPr>
            </w:pPr>
            <w:r>
              <w:rPr>
                <w:rFonts w:ascii="Times New Roman" w:hAnsi="Times New Roman" w:cs="Times New Roman"/>
                <w:color w:val="333333"/>
              </w:rPr>
              <w:t xml:space="preserve">    2</w:t>
            </w:r>
            <w:r>
              <w:rPr>
                <w:rFonts w:ascii="仿宋_GB2312" w:eastAsia="仿宋_GB2312" w:hAnsi="Calibri" w:hint="eastAsia"/>
                <w:color w:val="333333"/>
              </w:rPr>
              <w:t>.在广州市累积居住年限：</w:t>
            </w:r>
          </w:p>
          <w:p w:rsidR="00D75CCE" w:rsidRDefault="00D75CCE">
            <w:pPr>
              <w:pStyle w:val="a3"/>
              <w:spacing w:before="0" w:beforeAutospacing="0" w:after="0" w:afterAutospacing="0" w:line="360" w:lineRule="exact"/>
              <w:jc w:val="both"/>
              <w:rPr>
                <w:rFonts w:ascii="Calibri" w:hAnsi="Calibri"/>
                <w:color w:val="333333"/>
                <w:sz w:val="21"/>
                <w:szCs w:val="21"/>
              </w:rPr>
            </w:pPr>
            <w:r>
              <w:rPr>
                <w:rFonts w:ascii="仿宋_GB2312" w:eastAsia="仿宋_GB2312" w:hAnsi="Calibri" w:hint="eastAsia"/>
                <w:color w:val="333333"/>
              </w:rPr>
              <w:t xml:space="preserve">    （</w:t>
            </w:r>
            <w:r>
              <w:rPr>
                <w:rFonts w:ascii="Times New Roman" w:hAnsi="Times New Roman" w:cs="Times New Roman"/>
                <w:color w:val="333333"/>
              </w:rPr>
              <w:t>1</w:t>
            </w:r>
            <w:r>
              <w:rPr>
                <w:rFonts w:ascii="仿宋_GB2312" w:eastAsia="仿宋_GB2312" w:hAnsi="Calibri" w:hint="eastAsia"/>
                <w:color w:val="333333"/>
              </w:rPr>
              <w:t>）合法产权住所（</w:t>
            </w:r>
            <w:r>
              <w:rPr>
                <w:rFonts w:ascii="Times New Roman" w:hAnsi="Times New Roman" w:cs="Times New Roman"/>
                <w:color w:val="333333"/>
              </w:rPr>
              <w:t>10</w:t>
            </w:r>
            <w:r>
              <w:rPr>
                <w:rFonts w:ascii="仿宋_GB2312" w:eastAsia="仿宋_GB2312" w:hAnsi="Calibri" w:hint="eastAsia"/>
                <w:color w:val="333333"/>
              </w:rPr>
              <w:t>分）；申请人或申请人夫妇共同在从化区</w:t>
            </w:r>
            <w:r w:rsidRPr="00D75CCE">
              <w:rPr>
                <w:rFonts w:ascii="仿宋_GB2312" w:eastAsia="仿宋_GB2312" w:hAnsi="Calibri" w:hint="eastAsia"/>
              </w:rPr>
              <w:t>、</w:t>
            </w:r>
            <w:r>
              <w:rPr>
                <w:rFonts w:ascii="仿宋_GB2312" w:eastAsia="仿宋_GB2312" w:hAnsi="Calibri" w:hint="eastAsia"/>
                <w:color w:val="333333"/>
              </w:rPr>
              <w:t>增城区拥有自有产权住房的再增加</w:t>
            </w:r>
            <w:r>
              <w:rPr>
                <w:rFonts w:ascii="Times New Roman" w:hAnsi="Times New Roman" w:cs="Times New Roman"/>
                <w:color w:val="333333"/>
              </w:rPr>
              <w:t>5</w:t>
            </w:r>
            <w:r>
              <w:rPr>
                <w:rFonts w:ascii="仿宋_GB2312" w:eastAsia="仿宋_GB2312" w:hAnsi="Calibri" w:hint="eastAsia"/>
                <w:color w:val="333333"/>
              </w:rPr>
              <w:t>分；</w:t>
            </w:r>
          </w:p>
          <w:p w:rsidR="00D75CCE" w:rsidRDefault="00D75CCE">
            <w:pPr>
              <w:pStyle w:val="a3"/>
              <w:spacing w:before="0" w:beforeAutospacing="0" w:after="0" w:afterAutospacing="0" w:line="360" w:lineRule="exact"/>
              <w:jc w:val="both"/>
              <w:rPr>
                <w:rFonts w:ascii="Calibri" w:hAnsi="Calibri"/>
                <w:color w:val="333333"/>
                <w:sz w:val="21"/>
                <w:szCs w:val="21"/>
              </w:rPr>
            </w:pPr>
            <w:r>
              <w:rPr>
                <w:rFonts w:ascii="仿宋_GB2312" w:eastAsia="仿宋_GB2312" w:hAnsi="Calibri" w:hint="eastAsia"/>
                <w:color w:val="333333"/>
              </w:rPr>
              <w:t xml:space="preserve">    （</w:t>
            </w:r>
            <w:r>
              <w:rPr>
                <w:rFonts w:ascii="Times New Roman" w:hAnsi="Times New Roman" w:cs="Times New Roman"/>
                <w:color w:val="333333"/>
              </w:rPr>
              <w:t>2</w:t>
            </w:r>
            <w:r>
              <w:rPr>
                <w:rFonts w:ascii="仿宋_GB2312" w:eastAsia="仿宋_GB2312" w:hAnsi="Calibri" w:hint="eastAsia"/>
                <w:color w:val="333333"/>
              </w:rPr>
              <w:t>）合法租赁住所或单位宿舍，每满</w:t>
            </w:r>
            <w:r>
              <w:rPr>
                <w:rFonts w:ascii="Times New Roman" w:hAnsi="Times New Roman" w:cs="Times New Roman"/>
                <w:color w:val="333333"/>
              </w:rPr>
              <w:t>1</w:t>
            </w:r>
            <w:r>
              <w:rPr>
                <w:rFonts w:ascii="仿宋_GB2312" w:eastAsia="仿宋_GB2312" w:hAnsi="Calibri" w:hint="eastAsia"/>
                <w:color w:val="333333"/>
              </w:rPr>
              <w:t>年计</w:t>
            </w:r>
            <w:r>
              <w:rPr>
                <w:rFonts w:ascii="Times New Roman" w:hAnsi="Times New Roman" w:cs="Times New Roman"/>
                <w:color w:val="333333"/>
              </w:rPr>
              <w:t>2</w:t>
            </w:r>
            <w:r>
              <w:rPr>
                <w:rFonts w:ascii="仿宋_GB2312" w:eastAsia="仿宋_GB2312" w:hAnsi="Calibri" w:hint="eastAsia"/>
                <w:color w:val="333333"/>
              </w:rPr>
              <w:t>分，最高不超过</w:t>
            </w:r>
            <w:r>
              <w:rPr>
                <w:rFonts w:ascii="Times New Roman" w:hAnsi="Times New Roman" w:cs="Times New Roman"/>
                <w:color w:val="333333"/>
              </w:rPr>
              <w:t>10</w:t>
            </w:r>
            <w:r>
              <w:rPr>
                <w:rFonts w:ascii="仿宋_GB2312" w:eastAsia="仿宋_GB2312" w:hAnsi="Calibri" w:hint="eastAsia"/>
                <w:color w:val="333333"/>
              </w:rPr>
              <w:t>分；</w:t>
            </w:r>
          </w:p>
          <w:p w:rsidR="00D75CCE" w:rsidRDefault="00D75CCE">
            <w:pPr>
              <w:pStyle w:val="a3"/>
              <w:spacing w:before="0" w:beforeAutospacing="0" w:after="0" w:afterAutospacing="0" w:line="360" w:lineRule="exact"/>
              <w:jc w:val="both"/>
              <w:rPr>
                <w:rFonts w:ascii="Calibri" w:hAnsi="Calibri"/>
                <w:color w:val="333333"/>
                <w:sz w:val="21"/>
                <w:szCs w:val="21"/>
              </w:rPr>
            </w:pPr>
            <w:r>
              <w:rPr>
                <w:rFonts w:ascii="Times New Roman" w:hAnsi="Times New Roman" w:cs="Times New Roman"/>
                <w:color w:val="333333"/>
              </w:rPr>
              <w:t xml:space="preserve">    3</w:t>
            </w:r>
            <w:r>
              <w:rPr>
                <w:rFonts w:ascii="仿宋_GB2312" w:eastAsia="仿宋_GB2312" w:hAnsi="Calibri" w:hint="eastAsia"/>
                <w:color w:val="333333"/>
              </w:rPr>
              <w:t>.申请人居住地由越秀区</w:t>
            </w:r>
            <w:r w:rsidRPr="00D75CCE">
              <w:rPr>
                <w:rFonts w:ascii="仿宋_GB2312" w:eastAsia="仿宋_GB2312" w:hAnsi="Calibri" w:hint="eastAsia"/>
              </w:rPr>
              <w:t>、海珠区、荔湾区、天河区转移到本市其他行政区的，每满</w:t>
            </w:r>
            <w:r w:rsidRPr="00D75CCE">
              <w:rPr>
                <w:rFonts w:ascii="Times New Roman" w:hAnsi="Times New Roman" w:cs="Times New Roman"/>
              </w:rPr>
              <w:t>1</w:t>
            </w:r>
            <w:r w:rsidRPr="00D75CCE">
              <w:rPr>
                <w:rFonts w:ascii="仿宋_GB2312" w:eastAsia="仿宋_GB2312" w:hAnsi="Calibri" w:hint="eastAsia"/>
              </w:rPr>
              <w:t>年计</w:t>
            </w:r>
            <w:r w:rsidRPr="00D75CCE">
              <w:rPr>
                <w:rFonts w:ascii="Times New Roman" w:hAnsi="Times New Roman" w:cs="Times New Roman"/>
              </w:rPr>
              <w:t>2</w:t>
            </w:r>
            <w:r w:rsidRPr="00D75CCE">
              <w:rPr>
                <w:rFonts w:ascii="仿宋_GB2312" w:eastAsia="仿宋_GB2312" w:hAnsi="Calibri" w:hint="eastAsia"/>
              </w:rPr>
              <w:t>分，最高不超过</w:t>
            </w:r>
            <w:r w:rsidRPr="00D75CCE">
              <w:rPr>
                <w:rFonts w:ascii="Times New Roman" w:hAnsi="Times New Roman" w:cs="Times New Roman"/>
              </w:rPr>
              <w:t>10</w:t>
            </w:r>
            <w:r w:rsidRPr="00D75CCE">
              <w:rPr>
                <w:rFonts w:ascii="仿宋_GB2312" w:eastAsia="仿宋_GB2312" w:hAnsi="Calibri" w:hint="eastAsia"/>
              </w:rPr>
              <w:t>分</w:t>
            </w:r>
            <w:r>
              <w:rPr>
                <w:rFonts w:ascii="仿宋_GB2312" w:eastAsia="仿宋_GB2312" w:hAnsi="Calibri" w:hint="eastAsia"/>
                <w:color w:val="333333"/>
              </w:rPr>
              <w:t>。</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1.在广州市投亲靠友，可视为零租金租赁住房。</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2.既有合法产权住房.又有合法租赁住房的，由申请人选择其中一项计分。</w:t>
            </w:r>
          </w:p>
        </w:tc>
      </w:tr>
      <w:tr w:rsidR="00D75CCE" w:rsidTr="00D75CCE">
        <w:trPr>
          <w:trHeight w:val="3513"/>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color w:val="333333"/>
                <w:kern w:val="0"/>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Times New Roman" w:hAnsi="Times New Roman" w:cs="Times New Roman"/>
                <w:color w:val="333333"/>
              </w:rPr>
              <w:t>2</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仿宋_GB2312" w:eastAsia="仿宋_GB2312" w:hAnsi="Calibri" w:hint="eastAsia"/>
                <w:color w:val="333333"/>
              </w:rPr>
              <w:t>合法稳定就业</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在广州市就业（创业）并参加城镇基本养老保险.社会医疗保险（含职工社会医疗保险及城乡居民医疗保险）.失业保险.工伤保险.生育保险，每个险种每满1年计1分。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失业保险基金代缴的职工社会医疗保险缴费年限及外来工医保年限纳入医保累计缴费时间。外地转入社保.补缴社保不计算年限，重复参保期间不重复计算年限。</w:t>
            </w:r>
          </w:p>
        </w:tc>
      </w:tr>
      <w:tr w:rsidR="00D75CCE" w:rsidTr="00D75CCE">
        <w:trPr>
          <w:trHeight w:val="1412"/>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color w:val="333333"/>
                <w:kern w:val="0"/>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Times New Roman" w:hAnsi="Times New Roman" w:cs="Times New Roman"/>
                <w:color w:val="333333"/>
              </w:rPr>
              <w:t>3</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仿宋_GB2312" w:eastAsia="仿宋_GB2312" w:hAnsi="Calibri" w:hint="eastAsia"/>
                <w:color w:val="333333"/>
              </w:rPr>
              <w:t>文化程度</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1.本科及以上学历（50分）；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2.专科（含高职）（35分）；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3.高中（含中职）（20分）。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只取最高分，不累计计分。高中以下学历不计分。</w:t>
            </w:r>
          </w:p>
        </w:tc>
      </w:tr>
      <w:tr w:rsidR="00D75CCE" w:rsidTr="00D75CCE">
        <w:trPr>
          <w:trHeight w:val="1532"/>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color w:val="333333"/>
                <w:kern w:val="0"/>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Times New Roman" w:hAnsi="Times New Roman" w:cs="Times New Roman"/>
                <w:color w:val="333333"/>
              </w:rPr>
              <w:t>4</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40" w:lineRule="atLeast"/>
              <w:jc w:val="center"/>
              <w:rPr>
                <w:rFonts w:ascii="Calibri" w:hAnsi="Calibri"/>
                <w:color w:val="333333"/>
                <w:sz w:val="21"/>
                <w:szCs w:val="21"/>
              </w:rPr>
            </w:pPr>
            <w:r>
              <w:rPr>
                <w:rFonts w:ascii="仿宋_GB2312" w:eastAsia="仿宋_GB2312" w:hAnsi="Calibri" w:hint="eastAsia"/>
                <w:color w:val="333333"/>
              </w:rPr>
              <w:t>年龄</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1.18-30岁（30分）；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2.31-40岁（20分）；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3.41-45岁（10分）。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动态调整，不予叠加。</w:t>
            </w:r>
          </w:p>
        </w:tc>
      </w:tr>
      <w:tr w:rsidR="00D75CCE" w:rsidTr="00D75CCE">
        <w:trPr>
          <w:trHeight w:val="3403"/>
          <w:jc w:val="center"/>
        </w:trPr>
        <w:tc>
          <w:tcPr>
            <w:tcW w:w="720" w:type="dxa"/>
            <w:vMerge w:val="restart"/>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lastRenderedPageBreak/>
              <w:t>加</w:t>
            </w:r>
          </w:p>
          <w:p w:rsidR="00D75CCE" w:rsidRDefault="00D75CCE">
            <w:pPr>
              <w:pStyle w:val="a3"/>
              <w:spacing w:before="0" w:beforeAutospacing="0" w:after="0" w:afterAutospacing="0" w:line="360" w:lineRule="exact"/>
              <w:jc w:val="center"/>
              <w:rPr>
                <w:rFonts w:ascii="仿宋_GB2312" w:eastAsia="仿宋_GB2312" w:hAnsi="Calibri" w:hint="eastAsia"/>
                <w:color w:val="333333"/>
              </w:rPr>
            </w:pPr>
          </w:p>
          <w:p w:rsidR="00D75CCE" w:rsidRDefault="00D75CCE">
            <w:pPr>
              <w:pStyle w:val="a3"/>
              <w:spacing w:before="0" w:beforeAutospacing="0" w:after="0" w:afterAutospacing="0" w:line="360" w:lineRule="exact"/>
              <w:jc w:val="center"/>
              <w:rPr>
                <w:rFonts w:ascii="仿宋_GB2312" w:eastAsia="仿宋_GB2312" w:hAnsi="Calibri" w:hint="eastAsia"/>
                <w:color w:val="333333"/>
              </w:rPr>
            </w:pPr>
            <w:r>
              <w:rPr>
                <w:rFonts w:ascii="仿宋_GB2312" w:eastAsia="仿宋_GB2312" w:hAnsi="Calibri" w:hint="eastAsia"/>
                <w:color w:val="333333"/>
              </w:rPr>
              <w:t>分</w:t>
            </w:r>
          </w:p>
          <w:p w:rsidR="00D75CCE" w:rsidRDefault="00D75CCE">
            <w:pPr>
              <w:pStyle w:val="a3"/>
              <w:spacing w:before="0" w:beforeAutospacing="0" w:after="0" w:afterAutospacing="0" w:line="360" w:lineRule="exact"/>
              <w:jc w:val="center"/>
              <w:rPr>
                <w:rFonts w:ascii="仿宋_GB2312" w:eastAsia="仿宋_GB2312" w:hAnsi="Calibri" w:hint="eastAsia"/>
                <w:color w:val="333333"/>
              </w:rPr>
            </w:pPr>
          </w:p>
          <w:p w:rsidR="00D75CCE" w:rsidRDefault="00D75CCE">
            <w:pPr>
              <w:pStyle w:val="a3"/>
              <w:spacing w:before="0" w:beforeAutospacing="0" w:after="0" w:afterAutospacing="0" w:line="360" w:lineRule="exact"/>
              <w:jc w:val="center"/>
              <w:rPr>
                <w:rFonts w:ascii="仿宋_GB2312" w:eastAsia="仿宋_GB2312" w:hAnsi="Calibri" w:hint="eastAsia"/>
                <w:color w:val="333333"/>
              </w:rPr>
            </w:pPr>
            <w:r>
              <w:rPr>
                <w:rFonts w:ascii="仿宋_GB2312" w:eastAsia="仿宋_GB2312" w:hAnsi="Calibri" w:hint="eastAsia"/>
                <w:color w:val="333333"/>
              </w:rPr>
              <w:t>指</w:t>
            </w:r>
          </w:p>
          <w:p w:rsidR="00D75CCE" w:rsidRDefault="00D75CCE">
            <w:pPr>
              <w:pStyle w:val="a3"/>
              <w:spacing w:before="0" w:beforeAutospacing="0" w:after="0" w:afterAutospacing="0" w:line="360" w:lineRule="exact"/>
              <w:jc w:val="center"/>
              <w:rPr>
                <w:rFonts w:ascii="仿宋_GB2312" w:eastAsia="仿宋_GB2312" w:hAnsi="Calibri" w:hint="eastAsia"/>
                <w:color w:val="333333"/>
              </w:rPr>
            </w:pPr>
          </w:p>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标</w:t>
            </w: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1</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技术能力</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1.中级及以上职称或技师及以上职业资格（30分）；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2.初级职称.职业资格为高级.事业单位工勤技术三级（20分）；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3.职业资格中级.事业单位工勤技术四级（10分）；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4.正在从事与上述专业技术资格证书.职业资格证书相对应职业工种工作（10分）。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职业资格，是指获得国家.广东省.广州市人力资源和社会保障部门考核或认定而颁发的国家职业资格。只取最高分，不累计计分。</w:t>
            </w:r>
          </w:p>
        </w:tc>
      </w:tr>
      <w:tr w:rsidR="00D75CCE" w:rsidTr="00D75CCE">
        <w:trPr>
          <w:trHeight w:val="5649"/>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rFonts w:ascii="仿宋_GB2312" w:eastAsia="仿宋_GB2312"/>
                <w:color w:val="333333"/>
                <w:kern w:val="0"/>
                <w:sz w:val="24"/>
                <w:szCs w:val="24"/>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2</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创新创业</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1.近5年获得授权的专利且专利申请地址在广州市辖区内的专利发明人或者设计人，按以下标准给予计分：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属发明专利的，每项专利按20/（人数+1）计算，发明人为第一发明人的，加计一份平均分。最高不超过40分。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属实用新型专利的，每项专利按10/（人数+1）计算，发明人为第一发明人的，加计一份平均分。最高不超过20分。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属外观设计专利的，每项专利按5/（人数+1）计算，设计人为第一设计人的，加计一份平均分。最高不超过10分。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2.在广州市高新技术企业.新型研发机构等单位从事专业技术工作的申请人，工作每满1年计2分，最高不超过10分。</w:t>
            </w:r>
            <w:r>
              <w:rPr>
                <w:rFonts w:ascii="仿宋_GB2312" w:eastAsia="仿宋_GB2312" w:hAnsi="Calibri" w:hint="eastAsia"/>
                <w:color w:val="333333"/>
              </w:rPr>
              <w:t> </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对同时满足1和2两项条件的，可以累计计分。</w:t>
            </w:r>
          </w:p>
        </w:tc>
      </w:tr>
      <w:tr w:rsidR="00D75CCE" w:rsidTr="00D75CCE">
        <w:trPr>
          <w:trHeight w:val="2306"/>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rFonts w:ascii="仿宋_GB2312" w:eastAsia="仿宋_GB2312"/>
                <w:color w:val="333333"/>
                <w:kern w:val="0"/>
                <w:sz w:val="24"/>
                <w:szCs w:val="24"/>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3</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急需工种或职业资格.服务行业</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1.职业工种或职业资格符合当年广州市积分急需工种或职业资格目录（20分）；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2.现正从事特殊艰苦行业一线人员（10分）。工作每满1年再加计5分，最高再加分不超过30分。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w:t>
            </w:r>
          </w:p>
        </w:tc>
      </w:tr>
      <w:tr w:rsidR="00D75CCE" w:rsidTr="00D75CCE">
        <w:trPr>
          <w:trHeight w:val="1719"/>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rFonts w:ascii="仿宋_GB2312" w:eastAsia="仿宋_GB2312"/>
                <w:color w:val="333333"/>
                <w:kern w:val="0"/>
                <w:sz w:val="24"/>
                <w:szCs w:val="24"/>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4</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社会服务和公益</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近5年内，参加献血（每次计2分）或参加志愿者（义工）服务（每满50小时计1分）。以上各项1年内计分不超过2分，单项累计最高不超过10分。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w:t>
            </w:r>
          </w:p>
        </w:tc>
      </w:tr>
      <w:tr w:rsidR="00D75CCE" w:rsidTr="00D75CCE">
        <w:trPr>
          <w:trHeight w:val="5955"/>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rFonts w:ascii="仿宋_GB2312" w:eastAsia="仿宋_GB2312"/>
                <w:color w:val="333333"/>
                <w:kern w:val="0"/>
                <w:sz w:val="24"/>
                <w:szCs w:val="24"/>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5</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纳税情况</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1.对普通劳动者，近3个纳税年度累积在广州市缴纳个人所得税：</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（1）1-3万元（含1万元，不含3万元）（4分）；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（2）3-6万元（含3万元，不含6万元）（8分）；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（3）6万元以上（含6万元）（12分）。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2.所投资创办的企业，近3个纳税年度累积在广州市纳税：</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（1）5-10万元（含5万元，不含10万元）（4分）；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（2）10-20万元（含10万元，不含20万元）（8分）；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（3）20万元以上（含20万元）（12分）。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1.一个纳税年度指当年的1月1日至12月31日。</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2.对同时满足1和2两项条件的，可以累计计分。</w:t>
            </w:r>
          </w:p>
        </w:tc>
      </w:tr>
      <w:tr w:rsidR="00D75CCE" w:rsidTr="00D75CCE">
        <w:trPr>
          <w:trHeight w:val="3814"/>
          <w:jc w:val="center"/>
        </w:trPr>
        <w:tc>
          <w:tcPr>
            <w:tcW w:w="720" w:type="dxa"/>
            <w:vMerge/>
            <w:tcBorders>
              <w:top w:val="nil"/>
              <w:left w:val="single" w:sz="4" w:space="0" w:color="auto"/>
              <w:bottom w:val="single" w:sz="4" w:space="0" w:color="auto"/>
              <w:right w:val="single" w:sz="4" w:space="0" w:color="auto"/>
            </w:tcBorders>
            <w:vAlign w:val="center"/>
            <w:hideMark/>
          </w:tcPr>
          <w:p w:rsidR="00D75CCE" w:rsidRDefault="00D75CCE">
            <w:pPr>
              <w:widowControl/>
              <w:jc w:val="left"/>
              <w:rPr>
                <w:rFonts w:ascii="仿宋_GB2312" w:eastAsia="仿宋_GB2312"/>
                <w:color w:val="333333"/>
                <w:kern w:val="0"/>
                <w:sz w:val="24"/>
                <w:szCs w:val="24"/>
              </w:rPr>
            </w:pPr>
          </w:p>
        </w:tc>
        <w:tc>
          <w:tcPr>
            <w:tcW w:w="72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6</w:t>
            </w:r>
          </w:p>
        </w:tc>
        <w:tc>
          <w:tcPr>
            <w:tcW w:w="1276"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center"/>
              <w:rPr>
                <w:rFonts w:ascii="仿宋_GB2312" w:eastAsia="仿宋_GB2312" w:hAnsi="Calibri"/>
                <w:color w:val="333333"/>
              </w:rPr>
            </w:pPr>
            <w:r>
              <w:rPr>
                <w:rFonts w:ascii="仿宋_GB2312" w:eastAsia="仿宋_GB2312" w:hAnsi="Calibri" w:hint="eastAsia"/>
                <w:color w:val="333333"/>
              </w:rPr>
              <w:t>表彰奖项</w:t>
            </w:r>
          </w:p>
        </w:tc>
        <w:tc>
          <w:tcPr>
            <w:tcW w:w="4484"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1.个人获得党中央.国务院授予的奖项和荣誉称号（30分）；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2.个人获得广东省委.省政府或中央和国家机关部委等授予的劳动模范或先进工作者等荣誉称号（20分）；</w:t>
            </w:r>
          </w:p>
          <w:p w:rsidR="00D75CCE" w:rsidRDefault="00D75CCE">
            <w:pPr>
              <w:pStyle w:val="a3"/>
              <w:spacing w:before="0" w:beforeAutospacing="0" w:after="0" w:afterAutospacing="0" w:line="360" w:lineRule="exact"/>
              <w:jc w:val="both"/>
              <w:rPr>
                <w:rFonts w:ascii="仿宋_GB2312" w:eastAsia="仿宋_GB2312" w:hAnsi="Calibri" w:hint="eastAsia"/>
                <w:color w:val="333333"/>
              </w:rPr>
            </w:pPr>
            <w:r>
              <w:rPr>
                <w:rFonts w:ascii="仿宋_GB2312" w:eastAsia="仿宋_GB2312" w:hAnsi="Calibri" w:hint="eastAsia"/>
                <w:color w:val="333333"/>
              </w:rPr>
              <w:t xml:space="preserve">    3.个人获得广州市委.市政府授予的奖项和荣誉称号（含道德模范.广州好人）（10分）；</w:t>
            </w:r>
          </w:p>
          <w:p w:rsidR="00D75CCE" w:rsidRDefault="00D75CCE">
            <w:pPr>
              <w:pStyle w:val="a3"/>
              <w:spacing w:before="0" w:beforeAutospacing="0" w:after="0" w:afterAutospacing="0" w:line="360" w:lineRule="exact"/>
              <w:jc w:val="both"/>
              <w:rPr>
                <w:rFonts w:ascii="仿宋_GB2312" w:eastAsia="仿宋_GB2312" w:hAnsi="Calibri"/>
                <w:color w:val="333333"/>
              </w:rPr>
            </w:pPr>
            <w:r>
              <w:rPr>
                <w:rFonts w:ascii="仿宋_GB2312" w:eastAsia="仿宋_GB2312" w:hAnsi="Calibri" w:hint="eastAsia"/>
                <w:color w:val="333333"/>
              </w:rPr>
              <w:t xml:space="preserve">    4.个人获得广州市直机关或各区委.区政府授予的奖项和荣誉称号（5分）。</w:t>
            </w:r>
          </w:p>
        </w:tc>
        <w:tc>
          <w:tcPr>
            <w:tcW w:w="234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rsidR="00D75CCE" w:rsidRDefault="00D75CCE">
            <w:pPr>
              <w:pStyle w:val="a3"/>
              <w:spacing w:before="0" w:beforeAutospacing="0" w:after="0" w:afterAutospacing="0" w:line="270" w:lineRule="atLeast"/>
              <w:jc w:val="both"/>
              <w:rPr>
                <w:rFonts w:ascii="Calibri" w:hAnsi="Calibri"/>
                <w:color w:val="333333"/>
                <w:sz w:val="21"/>
                <w:szCs w:val="21"/>
              </w:rPr>
            </w:pPr>
            <w:r>
              <w:rPr>
                <w:rFonts w:ascii="Times New Roman" w:hAnsi="Times New Roman" w:cs="Times New Roman"/>
                <w:color w:val="333333"/>
              </w:rPr>
              <w:t xml:space="preserve">    1</w:t>
            </w:r>
            <w:r>
              <w:rPr>
                <w:rFonts w:ascii="仿宋_GB2312" w:eastAsia="仿宋_GB2312" w:hAnsi="Calibri" w:hint="eastAsia"/>
                <w:color w:val="333333"/>
              </w:rPr>
              <w:t>.只计个人在广州市工作期间获得的奖项。</w:t>
            </w:r>
          </w:p>
          <w:p w:rsidR="00D75CCE" w:rsidRDefault="00D75CCE">
            <w:pPr>
              <w:pStyle w:val="a3"/>
              <w:spacing w:before="0" w:beforeAutospacing="0" w:after="0" w:afterAutospacing="0" w:line="240" w:lineRule="atLeast"/>
              <w:jc w:val="both"/>
              <w:rPr>
                <w:rFonts w:ascii="Calibri" w:hAnsi="Calibri"/>
                <w:color w:val="333333"/>
                <w:sz w:val="21"/>
                <w:szCs w:val="21"/>
              </w:rPr>
            </w:pPr>
            <w:r>
              <w:rPr>
                <w:rFonts w:ascii="Times New Roman" w:hAnsi="Times New Roman" w:cs="Times New Roman"/>
                <w:color w:val="333333"/>
              </w:rPr>
              <w:t xml:space="preserve">    2</w:t>
            </w:r>
            <w:r>
              <w:rPr>
                <w:rFonts w:ascii="仿宋_GB2312" w:eastAsia="仿宋_GB2312" w:hAnsi="Calibri" w:hint="eastAsia"/>
                <w:color w:val="333333"/>
              </w:rPr>
              <w:t>.同一奖项只取最高分，不同奖项可累计计分。</w:t>
            </w:r>
          </w:p>
        </w:tc>
      </w:tr>
    </w:tbl>
    <w:p w:rsidR="008950A2" w:rsidRPr="00D75CCE" w:rsidRDefault="008950A2">
      <w:pPr>
        <w:rPr>
          <w:rFonts w:hint="eastAsia"/>
        </w:rPr>
      </w:pPr>
    </w:p>
    <w:sectPr w:rsidR="008950A2" w:rsidRPr="00D75CCE" w:rsidSect="008950A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5CCE"/>
    <w:rsid w:val="008950A2"/>
    <w:rsid w:val="00D75C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CCE"/>
    <w:pPr>
      <w:widowControl w:val="0"/>
      <w:jc w:val="both"/>
    </w:pPr>
    <w:rPr>
      <w:rFonts w:ascii="Calibri" w:eastAsia="宋体" w:hAnsi="Calibri" w:cs="宋体"/>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5CCE"/>
    <w:pPr>
      <w:widowControl/>
      <w:spacing w:before="100" w:beforeAutospacing="1" w:after="100" w:afterAutospacing="1"/>
      <w:jc w:val="left"/>
    </w:pPr>
    <w:rPr>
      <w:rFonts w:ascii="宋体" w:hAnsi="宋体"/>
      <w:kern w:val="0"/>
      <w:sz w:val="24"/>
      <w:szCs w:val="24"/>
    </w:rPr>
  </w:style>
</w:styles>
</file>

<file path=word/webSettings.xml><?xml version="1.0" encoding="utf-8"?>
<w:webSettings xmlns:r="http://schemas.openxmlformats.org/officeDocument/2006/relationships" xmlns:w="http://schemas.openxmlformats.org/wordprocessingml/2006/main">
  <w:divs>
    <w:div w:id="123647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招生办</dc:creator>
  <cp:lastModifiedBy>招生办</cp:lastModifiedBy>
  <cp:revision>1</cp:revision>
  <dcterms:created xsi:type="dcterms:W3CDTF">2019-04-19T08:49:00Z</dcterms:created>
  <dcterms:modified xsi:type="dcterms:W3CDTF">2019-04-19T08:50:00Z</dcterms:modified>
</cp:coreProperties>
</file>