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FF" w:rsidRDefault="003509FF" w:rsidP="003509FF">
      <w:pPr>
        <w:snapToGrid w:val="0"/>
        <w:ind w:left="1574" w:hangingChars="492" w:hanging="1574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 xml:space="preserve">附件2 </w:t>
      </w:r>
    </w:p>
    <w:p w:rsidR="003509FF" w:rsidRDefault="003509FF" w:rsidP="003509FF">
      <w:pPr>
        <w:snapToGrid w:val="0"/>
        <w:ind w:left="1574" w:hangingChars="492" w:hanging="1574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 xml:space="preserve"> </w:t>
      </w:r>
    </w:p>
    <w:p w:rsidR="003509FF" w:rsidRDefault="003509FF" w:rsidP="003509FF">
      <w:pPr>
        <w:widowControl/>
        <w:snapToGrid w:val="0"/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黄埔区来穗人员随迁子女接受义务教育</w:t>
      </w:r>
    </w:p>
    <w:p w:rsidR="003509FF" w:rsidRDefault="003509FF" w:rsidP="003509FF">
      <w:pPr>
        <w:widowControl/>
        <w:snapToGrid w:val="0"/>
        <w:spacing w:line="56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补充加分指标</w:t>
      </w:r>
    </w:p>
    <w:p w:rsidR="003509FF" w:rsidRDefault="003509FF" w:rsidP="003509FF">
      <w:pPr>
        <w:widowControl/>
        <w:snapToGrid w:val="0"/>
        <w:spacing w:line="560" w:lineRule="exact"/>
        <w:jc w:val="center"/>
        <w:rPr>
          <w:rFonts w:ascii="宋体" w:hAnsi="宋体" w:hint="eastAsia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720"/>
        <w:gridCol w:w="1184"/>
        <w:gridCol w:w="4576"/>
        <w:gridCol w:w="2871"/>
      </w:tblGrid>
      <w:tr w:rsidR="003509FF" w:rsidTr="003509FF">
        <w:trPr>
          <w:trHeight w:val="59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黑体" w:eastAsia="黑体" w:hAnsi="黑体" w:hint="eastAsia"/>
              </w:rPr>
              <w:t>类别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黑体" w:eastAsia="黑体" w:hAnsi="黑体" w:hint="eastAsia"/>
              </w:rPr>
              <w:t>指标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黑体" w:eastAsia="黑体" w:hAnsi="黑体" w:hint="eastAsia"/>
              </w:rPr>
              <w:t>指标内容及分值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3509FF" w:rsidTr="003509FF">
        <w:trPr>
          <w:trHeight w:val="3235"/>
          <w:jc w:val="center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>补</w:t>
            </w: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 w:hint="eastAsia"/>
              </w:rPr>
            </w:pP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Ansi="Calibri" w:hint="eastAsia"/>
              </w:rPr>
              <w:t>充</w:t>
            </w: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 w:hint="eastAsia"/>
              </w:rPr>
            </w:pP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Ansi="Calibri" w:hint="eastAsia"/>
              </w:rPr>
              <w:t>加</w:t>
            </w: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 w:hint="eastAsia"/>
              </w:rPr>
            </w:pP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Ansi="Calibri" w:hint="eastAsia"/>
              </w:rPr>
              <w:t>分</w:t>
            </w: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 w:hint="eastAsia"/>
              </w:rPr>
            </w:pP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Ansi="Calibri" w:hint="eastAsia"/>
              </w:rPr>
              <w:t>指</w:t>
            </w: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 w:hint="eastAsia"/>
              </w:rPr>
            </w:pPr>
          </w:p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>标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>企业加分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1.申请人所在企业在上一年度本区内纳税区库留成总额排全区前100名的，加10分；申请人所在企业在上一年度本区内纳税区库留成总额排全区101-200名的，加6分。</w:t>
            </w:r>
          </w:p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2.申请人是本区民营及中小企业的中高级管理人员或技术骨干，加10分。</w:t>
            </w:r>
          </w:p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3.申请人是本区重点招商引资企业的中高级管理人员或技术骨干，加10分。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320" w:lineRule="exact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1.企业在上一年度本区内纳税区库留成总额以区财政部门统计为准。</w:t>
            </w:r>
          </w:p>
          <w:p w:rsidR="003509FF" w:rsidRDefault="003509FF">
            <w:pPr>
              <w:pStyle w:val="a3"/>
              <w:spacing w:before="0" w:beforeAutospacing="0" w:after="0" w:afterAutospacing="0" w:line="320" w:lineRule="exact"/>
              <w:jc w:val="both"/>
              <w:rPr>
                <w:rFonts w:ascii="仿宋_GB2312" w:eastAsia="仿宋_GB2312" w:hAnsi="Calibri" w:hint="eastAsia"/>
              </w:rPr>
            </w:pPr>
            <w:r>
              <w:rPr>
                <w:rFonts w:ascii="仿宋_GB2312" w:eastAsia="仿宋_GB2312" w:hint="eastAsia"/>
              </w:rPr>
              <w:t xml:space="preserve">    2.</w:t>
            </w:r>
            <w:r>
              <w:rPr>
                <w:rFonts w:ascii="仿宋_GB2312" w:eastAsia="仿宋_GB2312" w:hAnsi="Calibri" w:hint="eastAsia"/>
              </w:rPr>
              <w:t>一个纳税年度指当年的1月1日至12月31日。</w:t>
            </w:r>
          </w:p>
          <w:p w:rsidR="003509FF" w:rsidRDefault="003509FF">
            <w:pPr>
              <w:pStyle w:val="a3"/>
              <w:spacing w:before="0" w:beforeAutospacing="0" w:after="0" w:afterAutospacing="0" w:line="320" w:lineRule="exact"/>
              <w:jc w:val="both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 xml:space="preserve">    3.对同时满足1.2.3项条件的，可以累计计分，最高不超过10分。</w:t>
            </w:r>
          </w:p>
        </w:tc>
      </w:tr>
      <w:tr w:rsidR="003509FF" w:rsidTr="003509FF">
        <w:trPr>
          <w:trHeight w:val="1007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FF" w:rsidRDefault="003509FF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居住证</w:t>
            </w:r>
          </w:p>
          <w:p w:rsidR="003509FF" w:rsidRDefault="003509F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加分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在本区办理的有效期内的《广东省居住证》每满1个自然月加0.2分，不足1月的不算分，最高不超过8分。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以“广州市来穗人员服务管理信息系统查询”为准。</w:t>
            </w:r>
          </w:p>
        </w:tc>
      </w:tr>
      <w:tr w:rsidR="003509FF" w:rsidTr="003509FF">
        <w:trPr>
          <w:trHeight w:val="281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FF" w:rsidRDefault="003509FF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合法稳定住所加分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1.合法产权住所：申请人在本区购房并居住的，加6分。</w:t>
            </w:r>
          </w:p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2.合法租赁住所：在本区申报有效的居住登记并在本区办理了出租屋租赁备案合同，每满1年加1分，不足1年的不算分；已缴纳出租屋税费的，每满1年加1分，不足1年的不算分。两项可累计，最高不超过6分。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1.居住登记以“广州市来穗人员服务管理信息系统”查询为准。</w:t>
            </w:r>
          </w:p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2.租赁备案以房屋租赁登记备案审核通过时间开始计算。</w:t>
            </w:r>
          </w:p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3.出租屋税费以完税证证明为准。</w:t>
            </w:r>
          </w:p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4.</w:t>
            </w:r>
            <w:r>
              <w:rPr>
                <w:rFonts w:ascii="仿宋_GB2312" w:eastAsia="仿宋_GB2312" w:hint="eastAsia"/>
                <w:sz w:val="24"/>
                <w:szCs w:val="24"/>
              </w:rPr>
              <w:t>对同时满足1.2项条件的，取最高分，最高不超过6分。</w:t>
            </w:r>
          </w:p>
        </w:tc>
      </w:tr>
      <w:tr w:rsidR="003509FF" w:rsidTr="003509FF">
        <w:trPr>
          <w:trHeight w:val="2614"/>
          <w:jc w:val="center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9FF" w:rsidRDefault="003509FF">
            <w:pPr>
              <w:widowControl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pStyle w:val="a3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Calibri"/>
              </w:rPr>
            </w:pPr>
            <w:r>
              <w:rPr>
                <w:rFonts w:ascii="仿宋_GB2312" w:eastAsia="仿宋_GB2312" w:hAnsi="Calibri" w:hint="eastAsia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学籍加分</w:t>
            </w:r>
          </w:p>
        </w:tc>
        <w:tc>
          <w:tcPr>
            <w:tcW w:w="4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1.幼儿园。申请人随迁子女当年在本区幼儿园毕业申请入读小学一年级，在本区公办或民办幼儿园接受教育每满一学期加1分，不足一学期的不算分，最高分6分。</w:t>
            </w:r>
          </w:p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2.小学。申请人随迁子女当年在本区小学毕业申请入读初中一年级，在本区公办或民办小学接受教育每满一学期加0.5分，不足一学期的不算分，最高分6分。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1.幼儿园学籍以全国学前教育管理信息系统数据为准。</w:t>
            </w:r>
          </w:p>
          <w:p w:rsidR="003509FF" w:rsidRDefault="003509FF">
            <w:pPr>
              <w:widowControl/>
              <w:snapToGrid w:val="0"/>
              <w:spacing w:line="32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2.小学学籍以广州市学籍系统数据为准。</w:t>
            </w:r>
          </w:p>
        </w:tc>
      </w:tr>
    </w:tbl>
    <w:p w:rsidR="00B13BBE" w:rsidRPr="003509FF" w:rsidRDefault="00B13BBE">
      <w:pPr>
        <w:rPr>
          <w:rFonts w:hint="eastAsia"/>
        </w:rPr>
      </w:pPr>
    </w:p>
    <w:sectPr w:rsidR="00B13BBE" w:rsidRPr="003509FF" w:rsidSect="00B13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9FF"/>
    <w:rsid w:val="003509FF"/>
    <w:rsid w:val="00B1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FF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9F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</dc:creator>
  <cp:lastModifiedBy>招生办</cp:lastModifiedBy>
  <cp:revision>1</cp:revision>
  <dcterms:created xsi:type="dcterms:W3CDTF">2019-04-19T08:50:00Z</dcterms:created>
  <dcterms:modified xsi:type="dcterms:W3CDTF">2019-04-19T08:52:00Z</dcterms:modified>
</cp:coreProperties>
</file>