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pPr>
      <w:r>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t>粤港澳大湾区</w:t>
      </w:r>
      <w:r>
        <w:rPr>
          <w:rFonts w:hint="eastAsia"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t>“</w:t>
      </w:r>
      <w:r>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t>菜篮子</w:t>
      </w:r>
      <w:r>
        <w:rPr>
          <w:rFonts w:hint="eastAsia"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t>”</w:t>
      </w:r>
      <w:r>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t>工程规划</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pPr>
      <w:r>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t>（2022</w:t>
      </w:r>
      <w:r>
        <w:rPr>
          <w:rFonts w:hint="eastAsia" w:ascii="仿宋_GB2312" w:hAnsi="仿宋_GB2312" w:eastAsia="仿宋_GB2312" w:cs="仿宋_GB2312"/>
          <w:color w:val="000000" w:themeColor="text1"/>
          <w:sz w:val="48"/>
          <w:szCs w:val="48"/>
          <w:highlight w:val="none"/>
          <w:lang w:val="en-US" w:eastAsia="zh-CN"/>
          <w14:textFill>
            <w14:solidFill>
              <w14:schemeClr w14:val="tx1"/>
            </w14:solidFill>
          </w14:textFill>
        </w:rPr>
        <w:t>—</w:t>
      </w:r>
      <w:r>
        <w:rPr>
          <w:rFonts w:hint="default" w:ascii="Times New Roman" w:hAnsi="Times New Roman" w:eastAsia="方正小标宋简体" w:cs="Times New Roman"/>
          <w:color w:val="000000" w:themeColor="text1"/>
          <w:sz w:val="48"/>
          <w:szCs w:val="48"/>
          <w:highlight w:val="none"/>
          <w:lang w:val="en-US" w:eastAsia="zh-CN"/>
          <w14:textFill>
            <w14:solidFill>
              <w14:schemeClr w14:val="tx1"/>
            </w14:solidFill>
          </w14:textFill>
        </w:rPr>
        <w:t>2026年）</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pStyle w:val="15"/>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pStyle w:val="15"/>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pStyle w:val="2"/>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pStyle w:val="2"/>
        <w:ind w:left="0" w:leftChars="0" w:firstLine="0"/>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pStyle w:val="15"/>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tbl>
      <w:tblPr>
        <w:tblStyle w:val="28"/>
        <w:tblW w:w="6900" w:type="dxa"/>
        <w:tblInd w:w="9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4"/>
        <w:gridCol w:w="4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44" w:type="dxa"/>
            <w:tcBorders>
              <w:tl2br w:val="nil"/>
              <w:tr2bl w:val="nil"/>
            </w:tcBorders>
            <w:vAlign w:val="center"/>
          </w:tcPr>
          <w:p>
            <w:pPr>
              <w:pStyle w:val="15"/>
              <w:ind w:left="0" w:leftChars="0" w:firstLine="0" w:firstLineChars="0"/>
              <w:jc w:val="center"/>
              <w:rPr>
                <w:rFonts w:hint="eastAsia" w:ascii="楷体_GB2312" w:hAnsi="楷体_GB2312" w:eastAsia="楷体_GB2312" w:cs="楷体_GB2312"/>
                <w:color w:val="000000" w:themeColor="text1"/>
                <w:sz w:val="40"/>
                <w:szCs w:val="40"/>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 xml:space="preserve">   指导单位：</w:t>
            </w:r>
          </w:p>
        </w:tc>
        <w:tc>
          <w:tcPr>
            <w:tcW w:w="4856" w:type="dxa"/>
            <w:tcBorders>
              <w:tl2br w:val="nil"/>
              <w:tr2bl w:val="nil"/>
            </w:tcBorders>
          </w:tcPr>
          <w:p>
            <w:pPr>
              <w:jc w:val="distribute"/>
              <w:rPr>
                <w:rFonts w:hint="eastAsia" w:ascii="楷体_GB2312" w:hAnsi="楷体_GB2312" w:eastAsia="楷体_GB2312" w:cs="楷体_GB2312"/>
                <w:color w:val="000000" w:themeColor="text1"/>
                <w:sz w:val="40"/>
                <w:szCs w:val="40"/>
                <w:highlight w:val="none"/>
                <w:vertAlign w:val="baseli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广东省农业农村厅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044" w:type="dxa"/>
            <w:tcBorders>
              <w:tl2br w:val="nil"/>
              <w:tr2bl w:val="nil"/>
            </w:tcBorders>
            <w:vAlign w:val="center"/>
          </w:tcPr>
          <w:p>
            <w:pPr>
              <w:pStyle w:val="15"/>
              <w:ind w:left="0" w:leftChars="0" w:firstLine="0" w:firstLineChars="0"/>
              <w:jc w:val="center"/>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 xml:space="preserve">   编制单位：</w:t>
            </w:r>
          </w:p>
        </w:tc>
        <w:tc>
          <w:tcPr>
            <w:tcW w:w="4856" w:type="dxa"/>
            <w:tcBorders>
              <w:tl2br w:val="nil"/>
              <w:tr2bl w:val="nil"/>
            </w:tcBorders>
          </w:tcPr>
          <w:p>
            <w:pPr>
              <w:jc w:val="distribute"/>
              <w:rPr>
                <w:rFonts w:hint="eastAsia"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粤港澳大湾区“菜篮子”工作办公室</w:t>
            </w:r>
          </w:p>
        </w:tc>
      </w:tr>
    </w:tbl>
    <w:p>
      <w:pPr>
        <w:pStyle w:val="15"/>
        <w:rPr>
          <w:rFonts w:hint="eastAsia" w:ascii="楷体_GB2312" w:hAnsi="楷体_GB2312" w:eastAsia="楷体_GB2312" w:cs="楷体_GB2312"/>
          <w:color w:val="000000" w:themeColor="text1"/>
          <w:sz w:val="40"/>
          <w:szCs w:val="40"/>
          <w:highlight w:val="none"/>
          <w:lang w:val="en-US" w:eastAsia="zh-CN"/>
          <w14:textFill>
            <w14:solidFill>
              <w14:schemeClr w14:val="tx1"/>
            </w14:solidFill>
          </w14:textFill>
        </w:rPr>
      </w:pPr>
    </w:p>
    <w:p>
      <w:pPr>
        <w:jc w:val="center"/>
        <w:rPr>
          <w:rFonts w:hint="eastAsia"/>
          <w:lang w:val="en-US" w:eastAsia="zh-CN"/>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 xml:space="preserve">    </w:t>
      </w:r>
    </w:p>
    <w:p>
      <w:pPr>
        <w:pStyle w:val="15"/>
        <w:ind w:left="0" w:leftChars="0" w:firstLine="0" w:firstLineChars="0"/>
        <w:jc w:val="center"/>
        <w:rPr>
          <w:rFonts w:hint="eastAsia" w:ascii="黑体" w:hAnsi="黑体" w:eastAsia="黑体" w:cs="黑体"/>
          <w:color w:val="000000" w:themeColor="text1"/>
          <w:sz w:val="40"/>
          <w:szCs w:val="48"/>
          <w:lang w:val="en-US" w:eastAsia="zh-CN"/>
          <w14:textFill>
            <w14:solidFill>
              <w14:schemeClr w14:val="tx1"/>
            </w14:solidFill>
          </w14:textFill>
        </w:rPr>
        <w:sectPr>
          <w:pgSz w:w="11906" w:h="16838"/>
          <w:pgMar w:top="2098" w:right="1531" w:bottom="1984"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rPr>
          <w:rFonts w:hint="eastAsia"/>
          <w:lang w:val="en-US" w:eastAsia="zh-CN"/>
        </w:rPr>
        <w:sectPr>
          <w:pgSz w:w="11906" w:h="16838"/>
          <w:pgMar w:top="2098" w:right="1531" w:bottom="1984"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5"/>
        <w:ind w:left="0" w:leftChars="0" w:firstLine="0" w:firstLineChars="0"/>
        <w:jc w:val="center"/>
        <w:rPr>
          <w:rFonts w:hint="eastAsia" w:ascii="黑体" w:hAnsi="黑体" w:eastAsia="黑体" w:cs="黑体"/>
          <w:color w:val="000000" w:themeColor="text1"/>
          <w:sz w:val="40"/>
          <w:szCs w:val="48"/>
          <w:lang w:val="en-US" w:eastAsia="zh-CN"/>
          <w14:textFill>
            <w14:solidFill>
              <w14:schemeClr w14:val="tx1"/>
            </w14:solidFill>
          </w14:textFill>
        </w:rPr>
      </w:pPr>
      <w:r>
        <w:rPr>
          <w:rFonts w:hint="eastAsia" w:ascii="黑体" w:hAnsi="黑体" w:eastAsia="黑体" w:cs="黑体"/>
          <w:color w:val="000000" w:themeColor="text1"/>
          <w:sz w:val="40"/>
          <w:szCs w:val="48"/>
          <w:lang w:val="en-US" w:eastAsia="zh-CN"/>
          <w14:textFill>
            <w14:solidFill>
              <w14:schemeClr w14:val="tx1"/>
            </w14:solidFill>
          </w14:textFill>
        </w:rPr>
        <w:t>目  录</w:t>
      </w:r>
    </w:p>
    <w:sdt>
      <w:sdtPr>
        <w:rPr>
          <w:rFonts w:hint="default" w:ascii="Times New Roman" w:hAnsi="Times New Roman" w:eastAsia="仿宋_GB2312" w:cs="Times New Roman"/>
          <w:color w:val="000000" w:themeColor="text1"/>
          <w:kern w:val="2"/>
          <w:sz w:val="30"/>
          <w:szCs w:val="30"/>
          <w:highlight w:val="none"/>
          <w:lang w:val="en-US" w:eastAsia="zh-CN" w:bidi="ar-SA"/>
          <w14:textFill>
            <w14:solidFill>
              <w14:schemeClr w14:val="tx1"/>
            </w14:solidFill>
          </w14:textFill>
        </w:rPr>
        <w:id w:val="147480329"/>
        <w15:color w:val="DBDBDB"/>
        <w:docPartObj>
          <w:docPartGallery w:val="Table of Contents"/>
          <w:docPartUnique/>
        </w:docPartObj>
      </w:sdtPr>
      <w:sdtEndPr>
        <w:rPr>
          <w:rFonts w:hint="default" w:ascii="Times New Roman" w:hAnsi="Times New Roman" w:eastAsia="宋体" w:cs="Times New Roman"/>
          <w:b/>
          <w:color w:val="000000" w:themeColor="text1"/>
          <w:kern w:val="2"/>
          <w:sz w:val="21"/>
          <w:szCs w:val="24"/>
          <w:highlight w:val="none"/>
          <w:lang w:val="en-US" w:eastAsia="zh-CN" w:bidi="ar-SA"/>
          <w14:textFill>
            <w14:solidFill>
              <w14:schemeClr w14:val="tx1"/>
            </w14:solidFill>
          </w14:textFill>
        </w:rPr>
      </w:sdtEndPr>
      <w:sdtContent>
        <w:p>
          <w:pPr>
            <w:rPr>
              <w:rFonts w:hint="default" w:ascii="Times New Roman" w:hAnsi="Times New Roman" w:eastAsia="仿宋_GB2312"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TOC \o "1-2" \h \u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p>
        <w:p>
          <w:pPr>
            <w:pStyle w:val="14"/>
            <w:tabs>
              <w:tab w:val="right" w:leader="dot" w:pos="8306"/>
            </w:tabs>
            <w:rPr>
              <w:rFonts w:hint="eastAsia" w:ascii="黑体" w:hAnsi="黑体" w:eastAsia="黑体" w:cs="黑体"/>
              <w:b w:val="0"/>
              <w:bCs w:val="0"/>
              <w:color w:val="000000" w:themeColor="text1"/>
              <w:sz w:val="30"/>
              <w:szCs w:val="30"/>
              <w14:textFill>
                <w14:solidFill>
                  <w14:schemeClr w14:val="tx1"/>
                </w14:solidFill>
              </w14:textFill>
            </w:rPr>
          </w:pP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begin"/>
          </w:r>
          <w:r>
            <w:rPr>
              <w:rFonts w:hint="eastAsia" w:ascii="黑体" w:hAnsi="黑体" w:eastAsia="黑体" w:cs="黑体"/>
              <w:b w:val="0"/>
              <w:bCs w:val="0"/>
              <w:color w:val="000000" w:themeColor="text1"/>
              <w:sz w:val="30"/>
              <w:szCs w:val="30"/>
              <w:highlight w:val="none"/>
              <w14:textFill>
                <w14:solidFill>
                  <w14:schemeClr w14:val="tx1"/>
                </w14:solidFill>
              </w14:textFill>
            </w:rPr>
            <w:instrText xml:space="preserve"> HYPERLINK \l _Toc14632 </w:instrTex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kern w:val="0"/>
              <w:sz w:val="30"/>
              <w:szCs w:val="30"/>
              <w:highlight w:val="none"/>
              <w:lang w:val="en-US" w:eastAsia="zh-CN" w:bidi="ar"/>
              <w14:textFill>
                <w14:solidFill>
                  <w14:schemeClr w14:val="tx1"/>
                </w14:solidFill>
              </w14:textFill>
            </w:rPr>
            <w:t>前  言</w:t>
          </w:r>
          <w:r>
            <w:rPr>
              <w:rFonts w:hint="eastAsia" w:ascii="黑体" w:hAnsi="黑体" w:eastAsia="黑体" w:cs="黑体"/>
              <w:b w:val="0"/>
              <w:bCs w:val="0"/>
              <w:color w:val="000000" w:themeColor="text1"/>
              <w:sz w:val="30"/>
              <w:szCs w:val="30"/>
              <w14:textFill>
                <w14:solidFill>
                  <w14:schemeClr w14:val="tx1"/>
                </w14:solidFill>
              </w14:textFill>
            </w:rPr>
            <w:tab/>
          </w:r>
          <w:r>
            <w:rPr>
              <w:rFonts w:hint="eastAsia" w:ascii="黑体" w:hAnsi="黑体" w:eastAsia="黑体" w:cs="黑体"/>
              <w:b w:val="0"/>
              <w:bCs w:val="0"/>
              <w:color w:val="000000" w:themeColor="text1"/>
              <w:sz w:val="30"/>
              <w:szCs w:val="30"/>
              <w14:textFill>
                <w14:solidFill>
                  <w14:schemeClr w14:val="tx1"/>
                </w14:solidFill>
              </w14:textFill>
            </w:rPr>
            <w:fldChar w:fldCharType="begin"/>
          </w:r>
          <w:r>
            <w:rPr>
              <w:rFonts w:hint="eastAsia" w:ascii="黑体" w:hAnsi="黑体" w:eastAsia="黑体" w:cs="黑体"/>
              <w:b w:val="0"/>
              <w:bCs w:val="0"/>
              <w:color w:val="000000" w:themeColor="text1"/>
              <w:sz w:val="30"/>
              <w:szCs w:val="30"/>
              <w14:textFill>
                <w14:solidFill>
                  <w14:schemeClr w14:val="tx1"/>
                </w14:solidFill>
              </w14:textFill>
            </w:rPr>
            <w:instrText xml:space="preserve"> PAGEREF _Toc14632 \h </w:instrText>
          </w:r>
          <w:r>
            <w:rPr>
              <w:rFonts w:hint="eastAsia" w:ascii="黑体" w:hAnsi="黑体" w:eastAsia="黑体" w:cs="黑体"/>
              <w:b w:val="0"/>
              <w:bCs w:val="0"/>
              <w:color w:val="000000" w:themeColor="text1"/>
              <w:sz w:val="30"/>
              <w:szCs w:val="30"/>
              <w14:textFill>
                <w14:solidFill>
                  <w14:schemeClr w14:val="tx1"/>
                </w14:solidFill>
              </w14:textFill>
            </w:rPr>
            <w:fldChar w:fldCharType="separate"/>
          </w:r>
          <w:r>
            <w:rPr>
              <w:rFonts w:hint="eastAsia" w:ascii="黑体" w:hAnsi="黑体" w:eastAsia="黑体" w:cs="黑体"/>
              <w:b w:val="0"/>
              <w:bCs w:val="0"/>
              <w:color w:val="000000" w:themeColor="text1"/>
              <w:sz w:val="30"/>
              <w:szCs w:val="30"/>
              <w14:textFill>
                <w14:solidFill>
                  <w14:schemeClr w14:val="tx1"/>
                </w14:solidFill>
              </w14:textFill>
            </w:rPr>
            <w:t>1</w:t>
          </w:r>
          <w:r>
            <w:rPr>
              <w:rFonts w:hint="eastAsia" w:ascii="黑体" w:hAnsi="黑体" w:eastAsia="黑体" w:cs="黑体"/>
              <w:b w:val="0"/>
              <w:bCs w:val="0"/>
              <w:color w:val="000000" w:themeColor="text1"/>
              <w:sz w:val="30"/>
              <w:szCs w:val="30"/>
              <w14:textFill>
                <w14:solidFill>
                  <w14:schemeClr w14:val="tx1"/>
                </w14:solidFill>
              </w14:textFill>
            </w:rPr>
            <w:fldChar w:fldCharType="end"/>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end"/>
          </w:r>
        </w:p>
        <w:p>
          <w:pPr>
            <w:pStyle w:val="14"/>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begin"/>
          </w:r>
          <w:r>
            <w:rPr>
              <w:rFonts w:hint="eastAsia" w:ascii="黑体" w:hAnsi="黑体" w:eastAsia="黑体" w:cs="黑体"/>
              <w:b w:val="0"/>
              <w:bCs w:val="0"/>
              <w:color w:val="000000" w:themeColor="text1"/>
              <w:sz w:val="30"/>
              <w:szCs w:val="30"/>
              <w:highlight w:val="none"/>
              <w14:textFill>
                <w14:solidFill>
                  <w14:schemeClr w14:val="tx1"/>
                </w14:solidFill>
              </w14:textFill>
            </w:rPr>
            <w:instrText xml:space="preserve"> HYPERLINK \l _Toc9348 </w:instrTex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lang w:val="en-US" w:eastAsia="zh-CN"/>
              <w14:textFill>
                <w14:solidFill>
                  <w14:schemeClr w14:val="tx1"/>
                </w14:solidFill>
              </w14:textFill>
            </w:rPr>
            <w:t>第一章  研判形势 准确把握新阶段新要求</w:t>
          </w:r>
          <w:r>
            <w:rPr>
              <w:rFonts w:hint="eastAsia" w:ascii="黑体" w:hAnsi="黑体" w:eastAsia="黑体" w:cs="黑体"/>
              <w:b w:val="0"/>
              <w:bCs w:val="0"/>
              <w:color w:val="000000" w:themeColor="text1"/>
              <w:sz w:val="30"/>
              <w:szCs w:val="30"/>
              <w:highlight w:val="none"/>
              <w14:textFill>
                <w14:solidFill>
                  <w14:schemeClr w14:val="tx1"/>
                </w14:solidFill>
              </w14:textFill>
            </w:rPr>
            <w:tab/>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begin"/>
          </w:r>
          <w:r>
            <w:rPr>
              <w:rFonts w:hint="eastAsia" w:ascii="黑体" w:hAnsi="黑体" w:eastAsia="黑体" w:cs="黑体"/>
              <w:b w:val="0"/>
              <w:bCs w:val="0"/>
              <w:color w:val="000000" w:themeColor="text1"/>
              <w:sz w:val="30"/>
              <w:szCs w:val="30"/>
              <w:highlight w:val="none"/>
              <w14:textFill>
                <w14:solidFill>
                  <w14:schemeClr w14:val="tx1"/>
                </w14:solidFill>
              </w14:textFill>
            </w:rPr>
            <w:instrText xml:space="preserve"> PAGEREF _Toc9348 \h </w:instrTex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14:textFill>
                <w14:solidFill>
                  <w14:schemeClr w14:val="tx1"/>
                </w14:solidFill>
              </w14:textFill>
            </w:rPr>
            <w:t>4</w: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end"/>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_Toc26603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一、发展基础</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_Toc26603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_Toc24049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二、面临挑战</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_Toc24049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13</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_Toc2335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三、发展机遇</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_Toc2335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14</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4"/>
            <w:tabs>
              <w:tab w:val="right" w:leader="dot" w:pos="8306"/>
            </w:tabs>
            <w:rPr>
              <w:rFonts w:hint="eastAsia" w:ascii="黑体" w:hAnsi="黑体" w:eastAsia="黑体" w:cs="黑体"/>
              <w:b w:val="0"/>
              <w:bCs w:val="0"/>
              <w:color w:val="000000" w:themeColor="text1"/>
              <w:sz w:val="30"/>
              <w:szCs w:val="30"/>
              <w14:textFill>
                <w14:solidFill>
                  <w14:schemeClr w14:val="tx1"/>
                </w14:solidFill>
              </w14:textFill>
            </w:rPr>
          </w:pP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begin"/>
          </w:r>
          <w:r>
            <w:rPr>
              <w:rFonts w:hint="eastAsia" w:ascii="黑体" w:hAnsi="黑体" w:eastAsia="黑体" w:cs="黑体"/>
              <w:b w:val="0"/>
              <w:bCs w:val="0"/>
              <w:color w:val="000000" w:themeColor="text1"/>
              <w:sz w:val="30"/>
              <w:szCs w:val="30"/>
              <w:highlight w:val="none"/>
              <w14:textFill>
                <w14:solidFill>
                  <w14:schemeClr w14:val="tx1"/>
                </w14:solidFill>
              </w14:textFill>
            </w:rPr>
            <w:instrText xml:space="preserve"> HYPERLINK \l _Toc13829 </w:instrTex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lang w:val="en-US" w:eastAsia="zh-CN"/>
              <w14:textFill>
                <w14:solidFill>
                  <w14:schemeClr w14:val="tx1"/>
                </w14:solidFill>
              </w14:textFill>
            </w:rPr>
            <w:t>第二章  求实创新 科学确定指导方针和目标</w:t>
          </w:r>
          <w:r>
            <w:rPr>
              <w:rFonts w:hint="eastAsia" w:ascii="黑体" w:hAnsi="黑体" w:eastAsia="黑体" w:cs="黑体"/>
              <w:b w:val="0"/>
              <w:bCs w:val="0"/>
              <w:color w:val="000000" w:themeColor="text1"/>
              <w:sz w:val="30"/>
              <w:szCs w:val="30"/>
              <w14:textFill>
                <w14:solidFill>
                  <w14:schemeClr w14:val="tx1"/>
                </w14:solidFill>
              </w14:textFill>
            </w:rPr>
            <w:tab/>
          </w:r>
          <w:r>
            <w:rPr>
              <w:rFonts w:hint="eastAsia" w:ascii="黑体" w:hAnsi="黑体" w:eastAsia="黑体" w:cs="黑体"/>
              <w:b w:val="0"/>
              <w:bCs w:val="0"/>
              <w:color w:val="000000" w:themeColor="text1"/>
              <w:sz w:val="30"/>
              <w:szCs w:val="30"/>
              <w14:textFill>
                <w14:solidFill>
                  <w14:schemeClr w14:val="tx1"/>
                </w14:solidFill>
              </w14:textFill>
            </w:rPr>
            <w:fldChar w:fldCharType="begin"/>
          </w:r>
          <w:r>
            <w:rPr>
              <w:rFonts w:hint="eastAsia" w:ascii="黑体" w:hAnsi="黑体" w:eastAsia="黑体" w:cs="黑体"/>
              <w:b w:val="0"/>
              <w:bCs w:val="0"/>
              <w:color w:val="000000" w:themeColor="text1"/>
              <w:sz w:val="30"/>
              <w:szCs w:val="30"/>
              <w14:textFill>
                <w14:solidFill>
                  <w14:schemeClr w14:val="tx1"/>
                </w14:solidFill>
              </w14:textFill>
            </w:rPr>
            <w:instrText xml:space="preserve"> PAGEREF _Toc13829 \h </w:instrText>
          </w:r>
          <w:r>
            <w:rPr>
              <w:rFonts w:hint="eastAsia" w:ascii="黑体" w:hAnsi="黑体" w:eastAsia="黑体" w:cs="黑体"/>
              <w:b w:val="0"/>
              <w:bCs w:val="0"/>
              <w:color w:val="000000" w:themeColor="text1"/>
              <w:sz w:val="30"/>
              <w:szCs w:val="30"/>
              <w14:textFill>
                <w14:solidFill>
                  <w14:schemeClr w14:val="tx1"/>
                </w14:solidFill>
              </w14:textFill>
            </w:rPr>
            <w:fldChar w:fldCharType="separate"/>
          </w:r>
          <w:r>
            <w:rPr>
              <w:rFonts w:hint="eastAsia" w:ascii="黑体" w:hAnsi="黑体" w:eastAsia="黑体" w:cs="黑体"/>
              <w:b w:val="0"/>
              <w:bCs w:val="0"/>
              <w:color w:val="000000" w:themeColor="text1"/>
              <w:sz w:val="30"/>
              <w:szCs w:val="30"/>
              <w14:textFill>
                <w14:solidFill>
                  <w14:schemeClr w14:val="tx1"/>
                </w14:solidFill>
              </w14:textFill>
            </w:rPr>
            <w:t>18</w:t>
          </w:r>
          <w:r>
            <w:rPr>
              <w:rFonts w:hint="eastAsia" w:ascii="黑体" w:hAnsi="黑体" w:eastAsia="黑体" w:cs="黑体"/>
              <w:b w:val="0"/>
              <w:bCs w:val="0"/>
              <w:color w:val="000000" w:themeColor="text1"/>
              <w:sz w:val="30"/>
              <w:szCs w:val="30"/>
              <w14:textFill>
                <w14:solidFill>
                  <w14:schemeClr w14:val="tx1"/>
                </w14:solidFill>
              </w14:textFill>
            </w:rPr>
            <w:fldChar w:fldCharType="end"/>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_Toc24946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一、指导思想</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_Toc24946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18</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_Toc20608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二、基本原则</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_Toc20608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19</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_Toc22596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三、发展目标</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_Toc22596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20</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4"/>
            <w:tabs>
              <w:tab w:val="right" w:leader="dot" w:pos="8306"/>
            </w:tabs>
            <w:rPr>
              <w:rFonts w:hint="default" w:ascii="Times New Roman" w:hAnsi="Times New Roman" w:eastAsia="仿宋_GB2312" w:cs="Times New Roman"/>
              <w:b/>
              <w:bCs/>
              <w:color w:val="000000" w:themeColor="text1"/>
              <w:sz w:val="30"/>
              <w:szCs w:val="30"/>
              <w14:textFill>
                <w14:solidFill>
                  <w14:schemeClr w14:val="tx1"/>
                </w14:solidFill>
              </w14:textFill>
            </w:rPr>
          </w:pP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begin"/>
          </w:r>
          <w:r>
            <w:rPr>
              <w:rFonts w:hint="eastAsia" w:ascii="黑体" w:hAnsi="黑体" w:eastAsia="黑体" w:cs="黑体"/>
              <w:b w:val="0"/>
              <w:bCs w:val="0"/>
              <w:color w:val="000000" w:themeColor="text1"/>
              <w:sz w:val="30"/>
              <w:szCs w:val="30"/>
              <w:highlight w:val="none"/>
              <w14:textFill>
                <w14:solidFill>
                  <w14:schemeClr w14:val="tx1"/>
                </w14:solidFill>
              </w14:textFill>
            </w:rPr>
            <w:instrText xml:space="preserve"> HYPERLINK \l _Toc1882 </w:instrTex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lang w:val="en-US" w:eastAsia="zh-CN"/>
              <w14:textFill>
                <w14:solidFill>
                  <w14:schemeClr w14:val="tx1"/>
                </w14:solidFill>
              </w14:textFill>
            </w:rPr>
            <w:t>第三章  强化标准 提升质量安全监管监控能力</w:t>
          </w:r>
          <w:r>
            <w:rPr>
              <w:rFonts w:hint="eastAsia" w:ascii="黑体" w:hAnsi="黑体" w:eastAsia="黑体" w:cs="黑体"/>
              <w:b w:val="0"/>
              <w:bCs w:val="0"/>
              <w:color w:val="000000" w:themeColor="text1"/>
              <w:sz w:val="30"/>
              <w:szCs w:val="30"/>
              <w:highlight w:val="none"/>
              <w14:textFill>
                <w14:solidFill>
                  <w14:schemeClr w14:val="tx1"/>
                </w14:solidFill>
              </w14:textFill>
            </w:rPr>
            <w:tab/>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begin"/>
          </w:r>
          <w:r>
            <w:rPr>
              <w:rFonts w:hint="eastAsia" w:ascii="黑体" w:hAnsi="黑体" w:eastAsia="黑体" w:cs="黑体"/>
              <w:b w:val="0"/>
              <w:bCs w:val="0"/>
              <w:color w:val="000000" w:themeColor="text1"/>
              <w:sz w:val="30"/>
              <w:szCs w:val="30"/>
              <w:highlight w:val="none"/>
              <w14:textFill>
                <w14:solidFill>
                  <w14:schemeClr w14:val="tx1"/>
                </w14:solidFill>
              </w14:textFill>
            </w:rPr>
            <w:instrText xml:space="preserve"> PAGEREF _Toc1882 \h </w:instrTex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14:textFill>
                <w14:solidFill>
                  <w14:schemeClr w14:val="tx1"/>
                </w14:solidFill>
              </w14:textFill>
            </w:rPr>
            <w:t>22</w: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end"/>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_Toc5990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一、健全质量安全标准体系</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_Toc5990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22</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_Toc32269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二、健全产品追溯体系</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_Toc32269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23</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_Toc31139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三、加强质量安全监管</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_Toc31139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23</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_Toc23662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四、建设质量安全</w:t>
          </w:r>
          <w:r>
            <w:rPr>
              <w:rFonts w:hint="eastAsia"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发展</w:t>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新格局</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_Toc23662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24</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4"/>
            <w:tabs>
              <w:tab w:val="right" w:leader="dot" w:pos="8306"/>
            </w:tabs>
            <w:rPr>
              <w:rFonts w:hint="default" w:ascii="Times New Roman" w:hAnsi="Times New Roman" w:eastAsia="仿宋_GB2312" w:cs="Times New Roman"/>
              <w:b/>
              <w:bCs/>
              <w:color w:val="000000" w:themeColor="text1"/>
              <w:sz w:val="30"/>
              <w:szCs w:val="30"/>
              <w14:textFill>
                <w14:solidFill>
                  <w14:schemeClr w14:val="tx1"/>
                </w14:solidFill>
              </w14:textFill>
            </w:rPr>
          </w:pP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begin"/>
          </w:r>
          <w:r>
            <w:rPr>
              <w:rFonts w:hint="eastAsia" w:ascii="黑体" w:hAnsi="黑体" w:eastAsia="黑体" w:cs="黑体"/>
              <w:b w:val="0"/>
              <w:bCs w:val="0"/>
              <w:color w:val="000000" w:themeColor="text1"/>
              <w:sz w:val="30"/>
              <w:szCs w:val="30"/>
              <w:highlight w:val="none"/>
              <w14:textFill>
                <w14:solidFill>
                  <w14:schemeClr w14:val="tx1"/>
                </w14:solidFill>
              </w14:textFill>
            </w:rPr>
            <w:instrText xml:space="preserve"> HYPERLINK \l _Toc18132 </w:instrText>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lang w:val="en-US" w:eastAsia="zh-CN"/>
              <w14:textFill>
                <w14:solidFill>
                  <w14:schemeClr w14:val="tx1"/>
                </w14:solidFill>
              </w14:textFill>
            </w:rPr>
            <w:t>第四章  科学布局 推进生产体系建设</w:t>
          </w:r>
          <w:r>
            <w:rPr>
              <w:rFonts w:hint="eastAsia" w:ascii="黑体" w:hAnsi="黑体" w:eastAsia="黑体" w:cs="黑体"/>
              <w:b w:val="0"/>
              <w:bCs w:val="0"/>
              <w:color w:val="000000" w:themeColor="text1"/>
              <w:sz w:val="30"/>
              <w:szCs w:val="30"/>
              <w14:textFill>
                <w14:solidFill>
                  <w14:schemeClr w14:val="tx1"/>
                </w14:solidFill>
              </w14:textFill>
            </w:rPr>
            <w:tab/>
          </w:r>
          <w:r>
            <w:rPr>
              <w:rFonts w:hint="eastAsia" w:ascii="黑体" w:hAnsi="黑体" w:eastAsia="黑体" w:cs="黑体"/>
              <w:b w:val="0"/>
              <w:bCs w:val="0"/>
              <w:color w:val="000000" w:themeColor="text1"/>
              <w:sz w:val="30"/>
              <w:szCs w:val="30"/>
              <w14:textFill>
                <w14:solidFill>
                  <w14:schemeClr w14:val="tx1"/>
                </w14:solidFill>
              </w14:textFill>
            </w:rPr>
            <w:fldChar w:fldCharType="begin"/>
          </w:r>
          <w:r>
            <w:rPr>
              <w:rFonts w:hint="eastAsia" w:ascii="黑体" w:hAnsi="黑体" w:eastAsia="黑体" w:cs="黑体"/>
              <w:b w:val="0"/>
              <w:bCs w:val="0"/>
              <w:color w:val="000000" w:themeColor="text1"/>
              <w:sz w:val="30"/>
              <w:szCs w:val="30"/>
              <w14:textFill>
                <w14:solidFill>
                  <w14:schemeClr w14:val="tx1"/>
                </w14:solidFill>
              </w14:textFill>
            </w:rPr>
            <w:instrText xml:space="preserve"> PAGEREF _Toc18132 \h </w:instrText>
          </w:r>
          <w:r>
            <w:rPr>
              <w:rFonts w:hint="eastAsia" w:ascii="黑体" w:hAnsi="黑体" w:eastAsia="黑体" w:cs="黑体"/>
              <w:b w:val="0"/>
              <w:bCs w:val="0"/>
              <w:color w:val="000000" w:themeColor="text1"/>
              <w:sz w:val="30"/>
              <w:szCs w:val="30"/>
              <w14:textFill>
                <w14:solidFill>
                  <w14:schemeClr w14:val="tx1"/>
                </w14:solidFill>
              </w14:textFill>
            </w:rPr>
            <w:fldChar w:fldCharType="separate"/>
          </w:r>
          <w:r>
            <w:rPr>
              <w:rFonts w:hint="eastAsia" w:ascii="黑体" w:hAnsi="黑体" w:eastAsia="黑体" w:cs="黑体"/>
              <w:b w:val="0"/>
              <w:bCs w:val="0"/>
              <w:color w:val="000000" w:themeColor="text1"/>
              <w:sz w:val="30"/>
              <w:szCs w:val="30"/>
              <w14:textFill>
                <w14:solidFill>
                  <w14:schemeClr w14:val="tx1"/>
                </w14:solidFill>
              </w14:textFill>
            </w:rPr>
            <w:t>25</w:t>
          </w:r>
          <w:r>
            <w:rPr>
              <w:rFonts w:hint="eastAsia" w:ascii="黑体" w:hAnsi="黑体" w:eastAsia="黑体" w:cs="黑体"/>
              <w:b w:val="0"/>
              <w:bCs w:val="0"/>
              <w:color w:val="000000" w:themeColor="text1"/>
              <w:sz w:val="30"/>
              <w:szCs w:val="30"/>
              <w14:textFill>
                <w14:solidFill>
                  <w14:schemeClr w14:val="tx1"/>
                </w14:solidFill>
              </w14:textFill>
            </w:rPr>
            <w:fldChar w:fldCharType="end"/>
          </w:r>
          <w:r>
            <w:rPr>
              <w:rFonts w:hint="eastAsia" w:ascii="黑体" w:hAnsi="黑体" w:eastAsia="黑体" w:cs="黑体"/>
              <w:b w:val="0"/>
              <w:bCs w:val="0"/>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_Toc21762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一、科学规划生产基地布局</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_Toc21762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25</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_Toc29001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二、拓展生产基地数量</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_Toc29001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41</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_Toc31531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三、拓深生产基地功能</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_Toc31531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41</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_Toc26578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四、规范生产基地管理</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_Toc26578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41</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4"/>
            <w:tabs>
              <w:tab w:val="right" w:leader="dot" w:pos="8306"/>
            </w:tabs>
            <w:rPr>
              <w:rFonts w:hint="default" w:ascii="Times New Roman" w:hAnsi="Times New Roman" w:eastAsia="仿宋_GB2312" w:cs="Times New Roman"/>
              <w:b/>
              <w:bCs/>
              <w:color w:val="000000" w:themeColor="text1"/>
              <w:sz w:val="30"/>
              <w:szCs w:val="30"/>
              <w14:textFill>
                <w14:solidFill>
                  <w14:schemeClr w14:val="tx1"/>
                </w14:solidFill>
              </w14:textFill>
            </w:rPr>
          </w:pP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instrText xml:space="preserve"> HYPERLINK \l _Toc20394 </w:instrText>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lang w:val="en-US" w:eastAsia="zh-CN"/>
              <w14:textFill>
                <w14:solidFill>
                  <w14:schemeClr w14:val="tx1"/>
                </w14:solidFill>
              </w14:textFill>
            </w:rPr>
            <w:t>第五章  优化培育 深化市场流通体系建设</w:t>
          </w:r>
          <w:r>
            <w:rPr>
              <w:rFonts w:hint="default" w:ascii="Times New Roman" w:hAnsi="Times New Roman" w:eastAsia="仿宋_GB2312" w:cs="Times New Roman"/>
              <w:b/>
              <w:bCs/>
              <w:color w:val="000000" w:themeColor="text1"/>
              <w:sz w:val="30"/>
              <w:szCs w:val="30"/>
              <w14:textFill>
                <w14:solidFill>
                  <w14:schemeClr w14:val="tx1"/>
                </w14:solidFill>
              </w14:textFill>
            </w:rPr>
            <w:tab/>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b/>
              <w:bCs/>
              <w:color w:val="000000" w:themeColor="text1"/>
              <w:sz w:val="30"/>
              <w:szCs w:val="30"/>
              <w14:textFill>
                <w14:solidFill>
                  <w14:schemeClr w14:val="tx1"/>
                </w14:solidFill>
              </w14:textFill>
            </w:rPr>
            <w:instrText xml:space="preserve"> PAGEREF _Toc20394 \h </w:instrText>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b/>
              <w:bCs/>
              <w:color w:val="000000" w:themeColor="text1"/>
              <w:sz w:val="30"/>
              <w:szCs w:val="30"/>
              <w14:textFill>
                <w14:solidFill>
                  <w14:schemeClr w14:val="tx1"/>
                </w14:solidFill>
              </w14:textFill>
            </w:rPr>
            <w:t>43</w:t>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_Toc26793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一、优化产销流通体系布局</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_Toc26793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43</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_Toc25864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eastAsia"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二</w:t>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、积极拓展市场流通渠道</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_Toc25864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44</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_Toc23968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eastAsia"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三</w:t>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、强化产销衔接</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_Toc23968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45</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_Toc16958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eastAsia"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四</w:t>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、培育品牌营销龙头企业</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_Toc16958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45</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_Toc2658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eastAsia"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五</w:t>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、推进流通便利</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_Toc2658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46</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4"/>
            <w:tabs>
              <w:tab w:val="right" w:leader="dot" w:pos="8306"/>
            </w:tabs>
            <w:rPr>
              <w:rFonts w:hint="default" w:ascii="Times New Roman" w:hAnsi="Times New Roman" w:eastAsia="仿宋_GB2312" w:cs="Times New Roman"/>
              <w:b/>
              <w:bCs/>
              <w:color w:val="000000" w:themeColor="text1"/>
              <w:sz w:val="30"/>
              <w:szCs w:val="30"/>
              <w14:textFill>
                <w14:solidFill>
                  <w14:schemeClr w14:val="tx1"/>
                </w14:solidFill>
              </w14:textFill>
            </w:rPr>
          </w:pP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instrText xml:space="preserve"> HYPERLINK \l _Toc27759 </w:instrText>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lang w:val="en-US" w:eastAsia="zh-CN"/>
              <w14:textFill>
                <w14:solidFill>
                  <w14:schemeClr w14:val="tx1"/>
                </w14:solidFill>
              </w14:textFill>
            </w:rPr>
            <w:t>第六章  加强宣传 推进品牌体系建设</w:t>
          </w:r>
          <w:r>
            <w:rPr>
              <w:rFonts w:hint="default" w:ascii="Times New Roman" w:hAnsi="Times New Roman" w:eastAsia="仿宋_GB2312" w:cs="Times New Roman"/>
              <w:b/>
              <w:bCs/>
              <w:color w:val="000000" w:themeColor="text1"/>
              <w:sz w:val="30"/>
              <w:szCs w:val="30"/>
              <w14:textFill>
                <w14:solidFill>
                  <w14:schemeClr w14:val="tx1"/>
                </w14:solidFill>
              </w14:textFill>
            </w:rPr>
            <w:tab/>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b/>
              <w:bCs/>
              <w:color w:val="000000" w:themeColor="text1"/>
              <w:sz w:val="30"/>
              <w:szCs w:val="30"/>
              <w14:textFill>
                <w14:solidFill>
                  <w14:schemeClr w14:val="tx1"/>
                </w14:solidFill>
              </w14:textFill>
            </w:rPr>
            <w:instrText xml:space="preserve"> PAGEREF _Toc27759 \h </w:instrText>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b/>
              <w:bCs/>
              <w:color w:val="000000" w:themeColor="text1"/>
              <w:sz w:val="30"/>
              <w:szCs w:val="30"/>
              <w14:textFill>
                <w14:solidFill>
                  <w14:schemeClr w14:val="tx1"/>
                </w14:solidFill>
              </w14:textFill>
            </w:rPr>
            <w:t>47</w:t>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_Toc392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一、强化粤港澳大湾区</w:t>
          </w:r>
          <w:r>
            <w:rPr>
              <w:rFonts w:hint="eastAsia" w:ascii="Times New Roman" w:hAnsi="Times New Roman" w:eastAsia="仿宋_GB2312" w:cs="Times New Roman"/>
              <w:bCs w:val="0"/>
              <w:color w:val="000000" w:themeColor="text1"/>
              <w:kern w:val="0"/>
              <w:sz w:val="30"/>
              <w:szCs w:val="30"/>
              <w:highlight w:val="none"/>
              <w:lang w:val="zh-CN" w:eastAsia="zh-CN" w:bidi="ar"/>
              <w14:textFill>
                <w14:solidFill>
                  <w14:schemeClr w14:val="tx1"/>
                </w14:solidFill>
              </w14:textFill>
            </w:rPr>
            <w:t>“</w:t>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菜篮子</w:t>
          </w:r>
          <w:r>
            <w:rPr>
              <w:rFonts w:hint="eastAsia" w:ascii="Times New Roman" w:hAnsi="Times New Roman" w:eastAsia="仿宋_GB2312" w:cs="Times New Roman"/>
              <w:bCs w:val="0"/>
              <w:color w:val="000000" w:themeColor="text1"/>
              <w:kern w:val="0"/>
              <w:sz w:val="30"/>
              <w:szCs w:val="30"/>
              <w:highlight w:val="none"/>
              <w:lang w:val="en-US" w:eastAsia="zh-CN" w:bidi="ar"/>
              <w14:textFill>
                <w14:solidFill>
                  <w14:schemeClr w14:val="tx1"/>
                </w14:solidFill>
              </w14:textFill>
            </w:rPr>
            <w:t>”</w:t>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品牌整体策划</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_Toc392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47</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_Toc4209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二、建立品牌准入、准出机制</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_Toc4209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48</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_Toc14671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三、加强品牌宣传推广</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_Toc14671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48</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4"/>
            <w:tabs>
              <w:tab w:val="right" w:leader="dot" w:pos="8306"/>
            </w:tabs>
            <w:rPr>
              <w:rFonts w:hint="default" w:ascii="Times New Roman" w:hAnsi="Times New Roman" w:eastAsia="仿宋_GB2312" w:cs="Times New Roman"/>
              <w:b/>
              <w:bCs/>
              <w:color w:val="000000" w:themeColor="text1"/>
              <w:sz w:val="30"/>
              <w:szCs w:val="30"/>
              <w14:textFill>
                <w14:solidFill>
                  <w14:schemeClr w14:val="tx1"/>
                </w14:solidFill>
              </w14:textFill>
            </w:rPr>
          </w:pP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instrText xml:space="preserve"> HYPERLINK \l _Toc15705 </w:instrText>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lang w:val="en-US" w:eastAsia="zh-CN"/>
              <w14:textFill>
                <w14:solidFill>
                  <w14:schemeClr w14:val="tx1"/>
                </w14:solidFill>
              </w14:textFill>
            </w:rPr>
            <w:t>第七章  强化保障 健全规划有序实施机制</w:t>
          </w:r>
          <w:r>
            <w:rPr>
              <w:rFonts w:hint="default" w:ascii="Times New Roman" w:hAnsi="Times New Roman" w:eastAsia="仿宋_GB2312" w:cs="Times New Roman"/>
              <w:b/>
              <w:bCs/>
              <w:color w:val="000000" w:themeColor="text1"/>
              <w:sz w:val="30"/>
              <w:szCs w:val="30"/>
              <w14:textFill>
                <w14:solidFill>
                  <w14:schemeClr w14:val="tx1"/>
                </w14:solidFill>
              </w14:textFill>
            </w:rPr>
            <w:tab/>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b/>
              <w:bCs/>
              <w:color w:val="000000" w:themeColor="text1"/>
              <w:sz w:val="30"/>
              <w:szCs w:val="30"/>
              <w14:textFill>
                <w14:solidFill>
                  <w14:schemeClr w14:val="tx1"/>
                </w14:solidFill>
              </w14:textFill>
            </w:rPr>
            <w:instrText xml:space="preserve"> PAGEREF _Toc15705 \h </w:instrText>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b/>
              <w:bCs/>
              <w:color w:val="000000" w:themeColor="text1"/>
              <w:sz w:val="30"/>
              <w:szCs w:val="30"/>
              <w14:textFill>
                <w14:solidFill>
                  <w14:schemeClr w14:val="tx1"/>
                </w14:solidFill>
              </w14:textFill>
            </w:rPr>
            <w:t>50</w:t>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_Toc30460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一、加强组织领导</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_Toc30460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50</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_Toc29628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二、加大政策扶持</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_Toc29628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50</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_Toc20399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三、强化科技支撑</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_Toc20399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51</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_Toc6066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四、强化市场监测预警与应急管理</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_Toc6066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52</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5"/>
            <w:tabs>
              <w:tab w:val="right" w:leader="dot" w:pos="8306"/>
            </w:tabs>
            <w:rPr>
              <w:rFonts w:hint="default" w:ascii="Times New Roman" w:hAnsi="Times New Roman" w:eastAsia="仿宋_GB2312" w:cs="Times New Roman"/>
              <w:color w:val="000000" w:themeColor="text1"/>
              <w:sz w:val="30"/>
              <w:szCs w:val="30"/>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highlight w:val="none"/>
              <w14:textFill>
                <w14:solidFill>
                  <w14:schemeClr w14:val="tx1"/>
                </w14:solidFill>
              </w14:textFill>
            </w:rPr>
            <w:instrText xml:space="preserve"> HYPERLINK \l _Toc29897 </w:instrText>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separate"/>
          </w:r>
          <w:r>
            <w:rPr>
              <w:rFonts w:hint="default" w:ascii="Times New Roman" w:hAnsi="Times New Roman" w:eastAsia="仿宋_GB2312" w:cs="Times New Roman"/>
              <w:bCs w:val="0"/>
              <w:color w:val="000000" w:themeColor="text1"/>
              <w:sz w:val="30"/>
              <w:szCs w:val="30"/>
              <w:highlight w:val="none"/>
              <w:lang w:val="en-US" w:eastAsia="zh-CN"/>
              <w14:textFill>
                <w14:solidFill>
                  <w14:schemeClr w14:val="tx1"/>
                </w14:solidFill>
              </w14:textFill>
            </w:rPr>
            <w:t>五、营造良好氛围</w:t>
          </w:r>
          <w:r>
            <w:rPr>
              <w:rFonts w:hint="default" w:ascii="Times New Roman" w:hAnsi="Times New Roman" w:eastAsia="仿宋_GB2312" w:cs="Times New Roman"/>
              <w:color w:val="000000" w:themeColor="text1"/>
              <w:sz w:val="30"/>
              <w:szCs w:val="30"/>
              <w14:textFill>
                <w14:solidFill>
                  <w14:schemeClr w14:val="tx1"/>
                </w14:solidFill>
              </w14:textFill>
            </w:rPr>
            <w:tab/>
          </w:r>
          <w:r>
            <w:rPr>
              <w:rFonts w:hint="default" w:ascii="Times New Roman" w:hAnsi="Times New Roman" w:eastAsia="仿宋_GB2312" w:cs="Times New Roman"/>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color w:val="000000" w:themeColor="text1"/>
              <w:sz w:val="30"/>
              <w:szCs w:val="30"/>
              <w14:textFill>
                <w14:solidFill>
                  <w14:schemeClr w14:val="tx1"/>
                </w14:solidFill>
              </w14:textFill>
            </w:rPr>
            <w:instrText xml:space="preserve"> PAGEREF _Toc29897 \h </w:instrText>
          </w:r>
          <w:r>
            <w:rPr>
              <w:rFonts w:hint="default" w:ascii="Times New Roman" w:hAnsi="Times New Roman" w:eastAsia="仿宋_GB2312" w:cs="Times New Roman"/>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color w:val="000000" w:themeColor="text1"/>
              <w:sz w:val="30"/>
              <w:szCs w:val="30"/>
              <w14:textFill>
                <w14:solidFill>
                  <w14:schemeClr w14:val="tx1"/>
                </w14:solidFill>
              </w14:textFill>
            </w:rPr>
            <w:t>52</w:t>
          </w:r>
          <w:r>
            <w:rPr>
              <w:rFonts w:hint="default" w:ascii="Times New Roman" w:hAnsi="Times New Roman" w:eastAsia="仿宋_GB2312" w:cs="Times New Roman"/>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p>
          <w:pPr>
            <w:pStyle w:val="14"/>
            <w:tabs>
              <w:tab w:val="right" w:leader="dot" w:pos="8306"/>
            </w:tabs>
            <w:rPr>
              <w:rFonts w:hint="default" w:ascii="Times New Roman" w:hAnsi="Times New Roman" w:eastAsia="仿宋_GB2312" w:cs="Times New Roman"/>
              <w:b/>
              <w:bCs/>
              <w:color w:val="000000" w:themeColor="text1"/>
              <w:sz w:val="30"/>
              <w:szCs w:val="30"/>
              <w14:textFill>
                <w14:solidFill>
                  <w14:schemeClr w14:val="tx1"/>
                </w14:solidFill>
              </w14:textFill>
            </w:rPr>
          </w:pP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begin"/>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instrText xml:space="preserve"> HYPERLINK \l _Toc9232 </w:instrText>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separate"/>
          </w:r>
          <w:r>
            <w:rPr>
              <w:rFonts w:hint="eastAsia" w:ascii="黑体" w:hAnsi="黑体" w:eastAsia="黑体" w:cs="黑体"/>
              <w:b w:val="0"/>
              <w:bCs w:val="0"/>
              <w:color w:val="000000" w:themeColor="text1"/>
              <w:sz w:val="30"/>
              <w:szCs w:val="30"/>
              <w:highlight w:val="none"/>
              <w:lang w:val="en-US" w:eastAsia="zh-CN"/>
              <w14:textFill>
                <w14:solidFill>
                  <w14:schemeClr w14:val="tx1"/>
                </w14:solidFill>
              </w14:textFill>
            </w:rPr>
            <w:t>名词解释</w:t>
          </w:r>
          <w:r>
            <w:rPr>
              <w:rFonts w:hint="default" w:ascii="Times New Roman" w:hAnsi="Times New Roman" w:eastAsia="仿宋_GB2312" w:cs="Times New Roman"/>
              <w:b/>
              <w:bCs/>
              <w:color w:val="000000" w:themeColor="text1"/>
              <w:sz w:val="30"/>
              <w:szCs w:val="30"/>
              <w14:textFill>
                <w14:solidFill>
                  <w14:schemeClr w14:val="tx1"/>
                </w14:solidFill>
              </w14:textFill>
            </w:rPr>
            <w:tab/>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begin"/>
          </w:r>
          <w:r>
            <w:rPr>
              <w:rFonts w:hint="default" w:ascii="Times New Roman" w:hAnsi="Times New Roman" w:eastAsia="仿宋_GB2312" w:cs="Times New Roman"/>
              <w:b/>
              <w:bCs/>
              <w:color w:val="000000" w:themeColor="text1"/>
              <w:sz w:val="30"/>
              <w:szCs w:val="30"/>
              <w14:textFill>
                <w14:solidFill>
                  <w14:schemeClr w14:val="tx1"/>
                </w14:solidFill>
              </w14:textFill>
            </w:rPr>
            <w:instrText xml:space="preserve"> PAGEREF _Toc9232 \h </w:instrText>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separate"/>
          </w:r>
          <w:r>
            <w:rPr>
              <w:rFonts w:hint="default" w:ascii="Times New Roman" w:hAnsi="Times New Roman" w:eastAsia="仿宋_GB2312" w:cs="Times New Roman"/>
              <w:b/>
              <w:bCs/>
              <w:color w:val="000000" w:themeColor="text1"/>
              <w:sz w:val="30"/>
              <w:szCs w:val="30"/>
              <w14:textFill>
                <w14:solidFill>
                  <w14:schemeClr w14:val="tx1"/>
                </w14:solidFill>
              </w14:textFill>
            </w:rPr>
            <w:t>54</w:t>
          </w:r>
          <w:r>
            <w:rPr>
              <w:rFonts w:hint="default" w:ascii="Times New Roman" w:hAnsi="Times New Roman" w:eastAsia="仿宋_GB2312" w:cs="Times New Roman"/>
              <w:b/>
              <w:bCs/>
              <w:color w:val="000000" w:themeColor="text1"/>
              <w:sz w:val="30"/>
              <w:szCs w:val="30"/>
              <w14:textFill>
                <w14:solidFill>
                  <w14:schemeClr w14:val="tx1"/>
                </w14:solidFill>
              </w14:textFill>
            </w:rPr>
            <w:fldChar w:fldCharType="end"/>
          </w:r>
          <w:r>
            <w:rPr>
              <w:rFonts w:hint="default" w:ascii="Times New Roman" w:hAnsi="Times New Roman" w:eastAsia="仿宋_GB2312" w:cs="Times New Roman"/>
              <w:b/>
              <w:bCs/>
              <w:color w:val="000000" w:themeColor="text1"/>
              <w:sz w:val="30"/>
              <w:szCs w:val="30"/>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rFonts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仿宋_GB2312" w:cs="Times New Roman"/>
              <w:color w:val="000000" w:themeColor="text1"/>
              <w:sz w:val="30"/>
              <w:szCs w:val="30"/>
              <w:highlight w:val="none"/>
              <w14:textFill>
                <w14:solidFill>
                  <w14:schemeClr w14:val="tx1"/>
                </w14:solidFill>
              </w14:textFill>
            </w:rPr>
            <w:fldChar w:fldCharType="end"/>
          </w:r>
        </w:p>
      </w:sdtContent>
    </w:sdt>
    <w:p>
      <w:pPr>
        <w:keepNext w:val="0"/>
        <w:keepLines w:val="0"/>
        <w:widowControl/>
        <w:suppressLineNumbers w:val="0"/>
        <w:spacing w:line="360" w:lineRule="auto"/>
        <w:jc w:val="center"/>
        <w:outlineLvl w:val="9"/>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sectPr>
          <w:pgSz w:w="11906" w:h="16838"/>
          <w:pgMar w:top="2098" w:right="1531" w:bottom="1984" w:left="1531"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widowControl/>
        <w:suppressLineNumbers w:val="0"/>
        <w:spacing w:line="360" w:lineRule="auto"/>
        <w:jc w:val="center"/>
        <w:outlineLvl w:val="0"/>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pPr>
      <w:bookmarkStart w:id="0" w:name="_Toc23235"/>
      <w:bookmarkStart w:id="1" w:name="_Toc25955"/>
      <w:bookmarkStart w:id="2" w:name="_Toc5807"/>
      <w:bookmarkStart w:id="3" w:name="_Toc4144"/>
      <w:bookmarkStart w:id="4" w:name="_Toc5766"/>
      <w:bookmarkStart w:id="5" w:name="_Toc14632"/>
      <w:bookmarkStart w:id="6" w:name="_Toc5934"/>
      <w:bookmarkStart w:id="7" w:name="_Toc9740"/>
      <w:bookmarkStart w:id="8" w:name="_Toc26075"/>
      <w:bookmarkStart w:id="9" w:name="_Toc27176"/>
      <w:bookmarkStart w:id="10" w:name="_Toc15564"/>
      <w:bookmarkStart w:id="11" w:name="_Toc23594"/>
      <w:r>
        <w:rPr>
          <w:rFonts w:hint="default" w:ascii="Times New Roman" w:hAnsi="Times New Roman" w:eastAsia="黑体" w:cs="Times New Roman"/>
          <w:color w:val="000000" w:themeColor="text1"/>
          <w:kern w:val="0"/>
          <w:sz w:val="32"/>
          <w:szCs w:val="32"/>
          <w:highlight w:val="none"/>
          <w:lang w:val="en-US" w:eastAsia="zh-CN" w:bidi="ar"/>
          <w14:textFill>
            <w14:solidFill>
              <w14:schemeClr w14:val="tx1"/>
            </w14:solidFill>
          </w14:textFill>
        </w:rPr>
        <w:t>前  言</w:t>
      </w:r>
      <w:bookmarkEnd w:id="0"/>
      <w:bookmarkEnd w:id="1"/>
      <w:bookmarkEnd w:id="2"/>
      <w:bookmarkEnd w:id="3"/>
      <w:bookmarkEnd w:id="4"/>
      <w:bookmarkEnd w:id="5"/>
      <w:bookmarkEnd w:id="6"/>
      <w:bookmarkEnd w:id="7"/>
      <w:bookmarkEnd w:id="8"/>
      <w:bookmarkEnd w:id="9"/>
      <w:bookmarkEnd w:id="10"/>
      <w:bookmarkEnd w:id="11"/>
    </w:p>
    <w:p>
      <w:pPr>
        <w:ind w:firstLine="640" w:firstLineChars="200"/>
        <w:jc w:val="both"/>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pPr>
    </w:p>
    <w:p>
      <w:pPr>
        <w:ind w:firstLine="640" w:firstLineChars="200"/>
        <w:jc w:val="both"/>
        <w:rPr>
          <w:rFonts w:hint="default" w:ascii="Times New Roman" w:hAnsi="Times New Roman" w:eastAsia="仿宋_GB2312" w:cs="Times New Roman"/>
          <w:i w:val="0"/>
          <w:iCs w:val="0"/>
          <w:caps w:val="0"/>
          <w:color w:val="000000" w:themeColor="text1"/>
          <w:spacing w:val="0"/>
          <w:kern w:val="0"/>
          <w:sz w:val="32"/>
          <w:szCs w:val="32"/>
          <w:highlight w:val="none"/>
          <w:shd w:val="clear" w:color="auto" w:fill="auto"/>
          <w:lang w:val="zh-CN" w:bidi="ar"/>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建设粤港澳大湾区，是习近平总书记亲自谋划、亲自部署、亲自推动的重大国家战略</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是新时代推动形成全面开放新格局的新举措。</w:t>
      </w:r>
      <w:r>
        <w:rPr>
          <w:rFonts w:ascii="Times New Roman" w:hAnsi="Times New Roman" w:eastAsia="仿宋_GB2312" w:cs="Times New Roman"/>
          <w:i w:val="0"/>
          <w:iCs w:val="0"/>
          <w:caps w:val="0"/>
          <w:color w:val="000000" w:themeColor="text1"/>
          <w:spacing w:val="0"/>
          <w:kern w:val="0"/>
          <w:sz w:val="32"/>
          <w:szCs w:val="32"/>
          <w:highlight w:val="none"/>
          <w:lang w:val="zh-CN" w:bidi="ar"/>
          <w14:textFill>
            <w14:solidFill>
              <w14:schemeClr w14:val="tx1"/>
            </w14:solidFill>
          </w14:textFill>
        </w:rPr>
        <w:t>党的十八大以来，</w:t>
      </w:r>
      <w:r>
        <w:rPr>
          <w:rFonts w:hint="default" w:ascii="Times New Roman" w:hAnsi="Times New Roman" w:eastAsia="仿宋_GB2312" w:cs="Times New Roman"/>
          <w:i w:val="0"/>
          <w:iCs w:val="0"/>
          <w:caps w:val="0"/>
          <w:color w:val="000000" w:themeColor="text1"/>
          <w:spacing w:val="0"/>
          <w:kern w:val="0"/>
          <w:sz w:val="32"/>
          <w:szCs w:val="32"/>
          <w:highlight w:val="none"/>
          <w:lang w:val="zh-CN" w:eastAsia="zh-CN" w:bidi="ar"/>
          <w14:textFill>
            <w14:solidFill>
              <w14:schemeClr w14:val="tx1"/>
            </w14:solidFill>
          </w14:textFill>
        </w:rPr>
        <w:t>习</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近平</w:t>
      </w:r>
      <w:r>
        <w:rPr>
          <w:rFonts w:ascii="Times New Roman" w:hAnsi="Times New Roman" w:eastAsia="仿宋_GB2312" w:cs="Times New Roman"/>
          <w:i w:val="0"/>
          <w:iCs w:val="0"/>
          <w:caps w:val="0"/>
          <w:color w:val="000000" w:themeColor="text1"/>
          <w:spacing w:val="0"/>
          <w:kern w:val="0"/>
          <w:sz w:val="32"/>
          <w:szCs w:val="32"/>
          <w:highlight w:val="none"/>
          <w:lang w:val="zh-CN" w:bidi="ar"/>
          <w14:textFill>
            <w14:solidFill>
              <w14:schemeClr w14:val="tx1"/>
            </w14:solidFill>
          </w14:textFill>
        </w:rPr>
        <w:t>总书记</w:t>
      </w:r>
      <w:r>
        <w:rPr>
          <w:rFonts w:hint="eastAsia" w:ascii="Times New Roman" w:hAnsi="Times New Roman" w:eastAsia="仿宋_GB2312" w:cs="Times New Roman"/>
          <w:i w:val="0"/>
          <w:iCs w:val="0"/>
          <w:caps w:val="0"/>
          <w:color w:val="000000" w:themeColor="text1"/>
          <w:spacing w:val="0"/>
          <w:kern w:val="0"/>
          <w:sz w:val="32"/>
          <w:szCs w:val="32"/>
          <w:highlight w:val="none"/>
          <w:lang w:val="en-US" w:eastAsia="zh-CN" w:bidi="ar"/>
          <w14:textFill>
            <w14:solidFill>
              <w14:schemeClr w14:val="tx1"/>
            </w14:solidFill>
          </w14:textFill>
        </w:rPr>
        <w:t>多</w:t>
      </w:r>
      <w:r>
        <w:rPr>
          <w:rFonts w:ascii="Times New Roman" w:hAnsi="Times New Roman" w:eastAsia="仿宋_GB2312" w:cs="Times New Roman"/>
          <w:i w:val="0"/>
          <w:iCs w:val="0"/>
          <w:caps w:val="0"/>
          <w:color w:val="000000" w:themeColor="text1"/>
          <w:spacing w:val="0"/>
          <w:kern w:val="0"/>
          <w:sz w:val="32"/>
          <w:szCs w:val="32"/>
          <w:highlight w:val="none"/>
          <w:lang w:val="zh-CN" w:bidi="ar"/>
          <w14:textFill>
            <w14:solidFill>
              <w14:schemeClr w14:val="tx1"/>
            </w14:solidFill>
          </w14:textFill>
        </w:rPr>
        <w:t>次</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视察</w:t>
      </w:r>
      <w:r>
        <w:rPr>
          <w:rFonts w:ascii="Times New Roman" w:hAnsi="Times New Roman" w:eastAsia="仿宋_GB2312" w:cs="Times New Roman"/>
          <w:i w:val="0"/>
          <w:iCs w:val="0"/>
          <w:caps w:val="0"/>
          <w:color w:val="000000" w:themeColor="text1"/>
          <w:spacing w:val="0"/>
          <w:kern w:val="0"/>
          <w:sz w:val="32"/>
          <w:szCs w:val="32"/>
          <w:highlight w:val="none"/>
          <w:lang w:val="zh-CN" w:bidi="ar"/>
          <w14:textFill>
            <w14:solidFill>
              <w14:schemeClr w14:val="tx1"/>
            </w14:solidFill>
          </w14:textFill>
        </w:rPr>
        <w:t>广东</w:t>
      </w:r>
      <w:r>
        <w:rPr>
          <w:rFonts w:hint="eastAsia" w:ascii="Times New Roman" w:hAnsi="Times New Roman" w:eastAsia="仿宋_GB2312" w:cs="Times New Roman"/>
          <w:i w:val="0"/>
          <w:iCs w:val="0"/>
          <w:caps w:val="0"/>
          <w:color w:val="000000" w:themeColor="text1"/>
          <w:spacing w:val="0"/>
          <w:kern w:val="0"/>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2023年</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4月习近平总书记在广东考察时再次对粤港澳大湾区建设作出指示和要求</w:t>
      </w:r>
      <w:r>
        <w:rPr>
          <w:rFonts w:hint="eastAsia"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粤港澳大湾区在全国新发展格局中具有重要战略地位。广东要认真贯彻党中央决策部署，把粤港澳大湾区建设作为广东深化改革开放的大机遇、大文章抓紧做实，摆在重中之重，以珠三角为主阵地，举全省之力办好这件大事，使粤港澳大湾区成为新发展格局的战略支点、高质量发展的示范地、中国式现代化的引领地。</w:t>
      </w:r>
      <w:r>
        <w:rPr>
          <w:rFonts w:hint="eastAsia" w:ascii="Times New Roman" w:hAnsi="Times New Roman" w:eastAsia="仿宋_GB2312" w:cs="Times New Roman"/>
          <w:i w:val="0"/>
          <w:iCs w:val="0"/>
          <w:caps w:val="0"/>
          <w:color w:val="000000" w:themeColor="text1"/>
          <w:spacing w:val="0"/>
          <w:kern w:val="0"/>
          <w:sz w:val="32"/>
          <w:szCs w:val="32"/>
          <w:highlight w:val="none"/>
          <w:shd w:val="clear" w:color="auto" w:fill="auto"/>
          <w:lang w:val="zh-CN" w:bidi="ar"/>
          <w14:textFill>
            <w14:solidFill>
              <w14:schemeClr w14:val="tx1"/>
            </w14:solidFill>
          </w14:textFill>
        </w:rPr>
        <w:t>粤港澳大湾区建设这一国家重大战略</w:t>
      </w:r>
      <w:r>
        <w:rPr>
          <w:rFonts w:ascii="Times New Roman" w:hAnsi="Times New Roman" w:eastAsia="仿宋_GB2312" w:cs="Times New Roman"/>
          <w:i w:val="0"/>
          <w:iCs w:val="0"/>
          <w:caps w:val="0"/>
          <w:color w:val="000000" w:themeColor="text1"/>
          <w:spacing w:val="0"/>
          <w:kern w:val="0"/>
          <w:sz w:val="32"/>
          <w:szCs w:val="32"/>
          <w:highlight w:val="none"/>
          <w:shd w:val="clear" w:fill="auto"/>
          <w:lang w:val="zh-CN" w:bidi="ar"/>
          <w14:textFill>
            <w14:solidFill>
              <w14:schemeClr w14:val="tx1"/>
            </w14:solidFill>
          </w14:textFill>
        </w:rPr>
        <w:t>寄望广州继续在高质量发展方面发挥领头羊和火车头作用</w:t>
      </w:r>
      <w:r>
        <w:rPr>
          <w:rFonts w:hint="eastAsia"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当好新时代的排头兵，携手港澳和大湾区其他城市共建国际一流湾区和世界级城市群。</w:t>
      </w:r>
      <w:r>
        <w:rPr>
          <w:rFonts w:hint="eastAsia" w:ascii="Times New Roman" w:hAnsi="Times New Roman" w:eastAsia="仿宋_GB2312" w:cs="Times New Roman"/>
          <w:i w:val="0"/>
          <w:iCs w:val="0"/>
          <w:caps w:val="0"/>
          <w:color w:val="000000" w:themeColor="text1"/>
          <w:spacing w:val="0"/>
          <w:kern w:val="0"/>
          <w:sz w:val="32"/>
          <w:szCs w:val="32"/>
          <w:highlight w:val="none"/>
          <w:shd w:val="clear" w:color="auto" w:fill="auto"/>
          <w:lang w:val="zh-CN" w:bidi="ar"/>
          <w14:textFill>
            <w14:solidFill>
              <w14:schemeClr w14:val="tx1"/>
            </w14:solidFill>
          </w14:textFill>
        </w:rPr>
        <w:t>其中，推进粤港澳大湾区“菜篮子”工程建设，确保湾区千家万户农产品有效供应、安全供应和持续供应，势必成为粤港澳大湾区国家战略的基础性工程。</w:t>
      </w:r>
    </w:p>
    <w:p>
      <w:pPr>
        <w:ind w:firstLine="640" w:firstLineChars="200"/>
        <w:jc w:val="both"/>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pPr>
      <w:r>
        <w:rPr>
          <w:rFonts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2019年10月，商务部等14部门联合印发了《关于培育建设国际消费中心城市的指导意见》（商运发〔2019〕309号），</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广州为首批5个建设城市之一</w:t>
      </w:r>
      <w:r>
        <w:rPr>
          <w:rFonts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为落实</w:t>
      </w:r>
      <w:r>
        <w:rPr>
          <w:rFonts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国际消费中心城市</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建设，广州市出台《</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广州市建设国际消费中心城市发展规划（2022</w:t>
      </w:r>
      <w:r>
        <w:rPr>
          <w:rFonts w:hint="eastAsia" w:ascii="Times New Roman" w:hAnsi="Times New Roman" w:eastAsia="仿宋_GB2312"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2025年）</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》，提出要</w:t>
      </w:r>
      <w:r>
        <w:rPr>
          <w:rFonts w:hint="default" w:ascii="Times New Roman" w:hAnsi="Times New Roman" w:eastAsia="仿宋_GB2312"/>
          <w:color w:val="000000" w:themeColor="text1"/>
          <w:kern w:val="0"/>
          <w:sz w:val="32"/>
          <w:szCs w:val="32"/>
          <w:highlight w:val="none"/>
          <w:lang w:val="zh-CN" w:bidi="ar"/>
          <w14:textFill>
            <w14:solidFill>
              <w14:schemeClr w14:val="tx1"/>
            </w14:solidFill>
          </w14:textFill>
        </w:rPr>
        <w:t>以满足人民日益增长的美好生活需要为根本目的，携手港澳全面增强对全球消费的集聚辐射力、资源配置力、创新引领力</w:t>
      </w:r>
      <w:r>
        <w:rPr>
          <w:rFonts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民以食为天，为</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粤港澳大湾区</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人民提供优质安全的农产品是</w:t>
      </w:r>
      <w:r>
        <w:rPr>
          <w:rFonts w:hint="eastAsia" w:ascii="仿宋_GB2312" w:hAnsi="仿宋_GB2312" w:eastAsia="仿宋_GB2312" w:cs="仿宋_GB2312"/>
          <w:i w:val="0"/>
          <w:iCs w:val="0"/>
          <w:caps w:val="0"/>
          <w:color w:val="000000" w:themeColor="text1"/>
          <w:spacing w:val="0"/>
          <w:kern w:val="0"/>
          <w:sz w:val="32"/>
          <w:szCs w:val="32"/>
          <w:highlight w:val="none"/>
          <w:shd w:val="clear"/>
          <w:lang w:val="en-US" w:eastAsia="zh-CN" w:bidi="ar"/>
          <w14:textFill>
            <w14:solidFill>
              <w14:schemeClr w14:val="tx1"/>
            </w14:solidFill>
          </w14:textFill>
        </w:rPr>
        <w:t>粤港澳大湾区建设、</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广州</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Hans"/>
          <w14:textFill>
            <w14:solidFill>
              <w14:schemeClr w14:val="tx1"/>
            </w14:solidFill>
          </w14:textFill>
        </w:rPr>
        <w:t>国际消费中心城市”培育</w:t>
      </w:r>
      <w:r>
        <w:rPr>
          <w:rFonts w:hint="eastAsia" w:ascii="仿宋_GB2312" w:hAnsi="仿宋_GB2312" w:eastAsia="仿宋_GB2312" w:cs="仿宋_GB2312"/>
          <w:i w:val="0"/>
          <w:iCs w:val="0"/>
          <w:caps w:val="0"/>
          <w:color w:val="000000" w:themeColor="text1"/>
          <w:spacing w:val="0"/>
          <w:kern w:val="0"/>
          <w:sz w:val="32"/>
          <w:szCs w:val="32"/>
          <w:highlight w:val="none"/>
          <w:shd w:val="clear"/>
          <w:lang w:val="en-US" w:eastAsia="zh-CN" w:bidi="ar"/>
          <w14:textFill>
            <w14:solidFill>
              <w14:schemeClr w14:val="tx1"/>
            </w14:solidFill>
          </w14:textFill>
        </w:rPr>
        <w:t>的应有之义</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w:t>
      </w:r>
    </w:p>
    <w:p>
      <w:pPr>
        <w:keepNext w:val="0"/>
        <w:keepLines w:val="0"/>
        <w:widowControl/>
        <w:suppressLineNumbers w:val="0"/>
        <w:ind w:firstLine="640" w:firstLineChars="200"/>
        <w:jc w:val="both"/>
        <w:rPr>
          <w:rFonts w:hint="eastAsia" w:ascii="Times New Roman" w:hAnsi="Times New Roman" w:eastAsia="仿宋_GB2312" w:cs="Times New Roman"/>
          <w:color w:val="000000" w:themeColor="text1"/>
          <w:kern w:val="2"/>
          <w:sz w:val="32"/>
          <w:szCs w:val="22"/>
          <w:highlight w:val="none"/>
          <w:lang w:val="en-US" w:eastAsia="zh-CN" w:bidi="ar"/>
          <w14:textFill>
            <w14:solidFill>
              <w14:schemeClr w14:val="tx1"/>
            </w14:solidFill>
          </w14:textFill>
        </w:rPr>
      </w:pP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2023年</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6月</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20日</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，中共广东省委十三届三次全会提出</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锚定一个目标，激活三大动力，奋力实现十大新突破”的</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1310”</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具体</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部署</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将“</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纵深推进新阶段粤港澳大湾区建设，在牵引全面深化改革开放上取得新突破</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”作为第一个突破</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7月23日，广州市对照省委</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1310”具体部署，细化形成</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锚定排头兵、领头羊、火车头标高追求，激活三大动力活力，奋力推动十二个领域走在前列、当好示范”的</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1312”思路举措</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针对“</w:t>
      </w:r>
      <w:r>
        <w:rPr>
          <w:rFonts w:hint="eastAsia" w:ascii="Times New Roman" w:hAnsi="Times New Roman" w:eastAsia="仿宋_GB2312" w:cs="Times New Roman"/>
          <w:color w:val="000000" w:themeColor="text1"/>
          <w:kern w:val="2"/>
          <w:sz w:val="32"/>
          <w:szCs w:val="22"/>
          <w:highlight w:val="none"/>
          <w:lang w:val="en-US" w:eastAsia="zh-CN" w:bidi="ar"/>
          <w14:textFill>
            <w14:solidFill>
              <w14:schemeClr w14:val="tx1"/>
            </w14:solidFill>
          </w14:textFill>
        </w:rPr>
        <w:t>纵深推进新阶段粤港澳大湾区建设</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”、深入实施“百县千镇万村高质量发展工程”、“深入推进绿美广州生态建设”等提出具体举措。</w:t>
      </w:r>
      <w:r>
        <w:rPr>
          <w:rFonts w:hint="eastAsia" w:ascii="Times New Roman" w:hAnsi="Times New Roman" w:eastAsia="仿宋_GB2312" w:cs="Times New Roman"/>
          <w:color w:val="000000" w:themeColor="text1"/>
          <w:sz w:val="32"/>
          <w:szCs w:val="22"/>
          <w:highlight w:val="none"/>
          <w:lang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bidi="ar"/>
          <w14:textFill>
            <w14:solidFill>
              <w14:schemeClr w14:val="tx1"/>
            </w14:solidFill>
          </w14:textFill>
        </w:rPr>
        <w:t>广东省推进农业农村现代化</w:t>
      </w:r>
      <w:r>
        <w:rPr>
          <w:rFonts w:hint="eastAsia" w:ascii="Times New Roman" w:hAnsi="Times New Roman" w:eastAsia="仿宋_GB2312" w:cs="Times New Roman"/>
          <w:color w:val="000000" w:themeColor="text1"/>
          <w:sz w:val="32"/>
          <w:szCs w:val="22"/>
          <w:highlight w:val="none"/>
          <w:lang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bidi="ar"/>
          <w14:textFill>
            <w14:solidFill>
              <w14:schemeClr w14:val="tx1"/>
            </w14:solidFill>
          </w14:textFill>
        </w:rPr>
        <w:t>十四五”规划</w:t>
      </w:r>
      <w:r>
        <w:rPr>
          <w:rFonts w:hint="eastAsia" w:ascii="Times New Roman" w:hAnsi="Times New Roman" w:eastAsia="仿宋_GB2312" w:cs="Times New Roman"/>
          <w:color w:val="000000" w:themeColor="text1"/>
          <w:sz w:val="32"/>
          <w:szCs w:val="22"/>
          <w:highlight w:val="none"/>
          <w:lang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val="en-US" w:eastAsia="zh-CN" w:bidi="ar"/>
          <w14:textFill>
            <w14:solidFill>
              <w14:schemeClr w14:val="tx1"/>
            </w14:solidFill>
          </w14:textFill>
        </w:rPr>
        <w:t>提出，</w:t>
      </w:r>
      <w:r>
        <w:rPr>
          <w:rFonts w:hint="eastAsia" w:ascii="Times New Roman" w:hAnsi="Times New Roman" w:eastAsia="仿宋_GB2312" w:cs="Times New Roman"/>
          <w:color w:val="000000" w:themeColor="text1"/>
          <w:sz w:val="32"/>
          <w:szCs w:val="22"/>
          <w:highlight w:val="none"/>
          <w:lang w:bidi="ar"/>
          <w14:textFill>
            <w14:solidFill>
              <w14:schemeClr w14:val="tx1"/>
            </w14:solidFill>
          </w14:textFill>
        </w:rPr>
        <w:t>珠三角力争到2025年率先基本实现农业农村现代化，推动形成与国际一流湾区和世界城市群相匹配、相融合的都市精细农业、精美农村，引领带动全省农业农村高质量发展。</w:t>
      </w:r>
    </w:p>
    <w:p>
      <w:pPr>
        <w:keepNext w:val="0"/>
        <w:keepLines w:val="0"/>
        <w:widowControl/>
        <w:suppressLineNumbers w:val="0"/>
        <w:ind w:firstLine="640" w:firstLineChars="200"/>
        <w:jc w:val="both"/>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综上所述，习近平总书记的殷殷嘱托、国家战略的根本要求，为</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区“菜篮子”工</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程</w:t>
      </w:r>
      <w:r>
        <w:rPr>
          <w:rFonts w:hint="eastAsia"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提供了根本遵循，成为</w:t>
      </w:r>
      <w:r>
        <w:rPr>
          <w:rFonts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关系</w:t>
      </w:r>
      <w:r>
        <w:rPr>
          <w:rFonts w:hint="eastAsia"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湾区</w:t>
      </w:r>
      <w:r>
        <w:rPr>
          <w:rFonts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国计民生与社会和谐稳定的民生工程。</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在</w:t>
      </w:r>
      <w:r>
        <w:rPr>
          <w:rFonts w:hint="eastAsia"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广东全省上下积极探索中国式现代化广东实践和推进粤港澳大湾区高质量发展的征途里</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保障粤港澳大湾区</w:t>
      </w:r>
      <w:r>
        <w:rPr>
          <w:rFonts w:hint="eastAsia"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市</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民的</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安全、稳定、优质供给，对新征程开好局起好步和粤港澳大湾区社会安定和谐，服务粤港澳大湾区宜居宜业宜游的优质生活圈建设，具有特殊重要意义。</w:t>
      </w:r>
    </w:p>
    <w:p>
      <w:pPr>
        <w:keepNext w:val="0"/>
        <w:keepLines w:val="0"/>
        <w:widowControl/>
        <w:suppressLineNumbers w:val="0"/>
        <w:ind w:firstLine="640" w:firstLineChars="200"/>
        <w:jc w:val="both"/>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为进一步</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贯彻落实国家</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广东省</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关于粤港澳大湾区</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高质量</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发展</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农产品质量安全</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、广州“国际消费中心城市”建设、农业农村现代化等</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工作</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的重要部署，</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推进</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工程</w:t>
      </w:r>
      <w:r>
        <w:rPr>
          <w:rFonts w:hint="eastAsia"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高质量发展</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在粤港澳大湾区</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菜篮子</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工程建设良好开局的基础上，依据《粤港澳大湾区发展规划纲要》《中共中央、国务院关于加快建设全国统一大市场的意见》</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商务部等14部门《关于培育建设国际消费中心城市的指导意见》（商运发〔2019〕309号）</w:t>
      </w:r>
      <w:r>
        <w:rPr>
          <w:rFonts w:hint="eastAsia"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中共广东省委</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1310”</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具体</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部署</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default" w:ascii="Times New Roman" w:hAnsi="Times New Roman" w:eastAsia="仿宋_GB2312" w:cs="Times New Roman"/>
          <w:bCs/>
          <w:color w:val="000000" w:themeColor="text1"/>
          <w:kern w:val="2"/>
          <w:sz w:val="32"/>
          <w:szCs w:val="32"/>
          <w:highlight w:val="none"/>
          <w:lang w:val="en-US" w:eastAsia="zh-CN" w:bidi="ar"/>
          <w14:textFill>
            <w14:solidFill>
              <w14:schemeClr w14:val="tx1"/>
            </w14:solidFill>
          </w14:textFill>
        </w:rPr>
        <w:t>《</w:t>
      </w:r>
      <w:r>
        <w:rPr>
          <w:rFonts w:ascii="Times New Roman" w:hAnsi="Times New Roman" w:eastAsia="仿宋_GB2312" w:cs="Times New Roman"/>
          <w:bCs/>
          <w:i w:val="0"/>
          <w:iCs w:val="0"/>
          <w:caps w:val="0"/>
          <w:color w:val="000000" w:themeColor="text1"/>
          <w:spacing w:val="0"/>
          <w:sz w:val="32"/>
          <w:szCs w:val="32"/>
          <w:highlight w:val="none"/>
          <w14:textFill>
            <w14:solidFill>
              <w14:schemeClr w14:val="tx1"/>
            </w14:solidFill>
          </w14:textFill>
        </w:rPr>
        <w:t>中共广东省委 广东省人民政府关于新时代广东高质量发展的若干意见</w:t>
      </w:r>
      <w:r>
        <w:rPr>
          <w:rFonts w:hint="default" w:ascii="Times New Roman" w:hAnsi="Times New Roman" w:eastAsia="仿宋_GB2312" w:cs="Times New Roman"/>
          <w:bCs/>
          <w:color w:val="000000" w:themeColor="text1"/>
          <w:kern w:val="2"/>
          <w:sz w:val="32"/>
          <w:szCs w:val="32"/>
          <w:highlight w:val="none"/>
          <w:lang w:val="en-US"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bidi="ar"/>
          <w14:textFill>
            <w14:solidFill>
              <w14:schemeClr w14:val="tx1"/>
            </w14:solidFill>
          </w14:textFill>
        </w:rPr>
        <w:t>广东省推进农业农村现代化</w:t>
      </w:r>
      <w:r>
        <w:rPr>
          <w:rFonts w:hint="eastAsia" w:ascii="Times New Roman" w:hAnsi="Times New Roman" w:eastAsia="仿宋_GB2312" w:cs="Times New Roman"/>
          <w:color w:val="000000" w:themeColor="text1"/>
          <w:sz w:val="32"/>
          <w:szCs w:val="22"/>
          <w:highlight w:val="none"/>
          <w:lang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bidi="ar"/>
          <w14:textFill>
            <w14:solidFill>
              <w14:schemeClr w14:val="tx1"/>
            </w14:solidFill>
          </w14:textFill>
        </w:rPr>
        <w:t>十四五”规划</w:t>
      </w:r>
      <w:r>
        <w:rPr>
          <w:rFonts w:hint="eastAsia" w:ascii="Times New Roman" w:hAnsi="Times New Roman" w:eastAsia="仿宋_GB2312" w:cs="Times New Roman"/>
          <w:color w:val="000000" w:themeColor="text1"/>
          <w:sz w:val="32"/>
          <w:szCs w:val="22"/>
          <w:highlight w:val="none"/>
          <w:lang w:eastAsia="zh-CN" w:bidi="ar"/>
          <w14:textFill>
            <w14:solidFill>
              <w14:schemeClr w14:val="tx1"/>
            </w14:solidFill>
          </w14:textFill>
        </w:rPr>
        <w:t>》</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等文件</w:t>
      </w:r>
      <w:r>
        <w:rPr>
          <w:rFonts w:hint="eastAsia"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、规划</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精神，制定本规划。</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100" w:after="100" w:line="360" w:lineRule="auto"/>
        <w:jc w:val="center"/>
        <w:textAlignment w:val="auto"/>
        <w:rPr>
          <w:rFonts w:hint="default" w:ascii="Times New Roman" w:hAnsi="Times New Roman" w:eastAsia="黑体" w:cs="Times New Roman"/>
          <w:b w:val="0"/>
          <w:bCs w:val="0"/>
          <w:color w:val="000000" w:themeColor="text1"/>
          <w:sz w:val="32"/>
          <w:szCs w:val="32"/>
          <w:highlight w:val="none"/>
          <w14:textFill>
            <w14:solidFill>
              <w14:schemeClr w14:val="tx1"/>
            </w14:solidFill>
          </w14:textFill>
        </w:rPr>
      </w:pPr>
      <w:bookmarkStart w:id="12" w:name="_Toc8204"/>
      <w:bookmarkStart w:id="13" w:name="_Toc9348"/>
      <w:bookmarkStart w:id="14" w:name="_Toc12000"/>
      <w:bookmarkStart w:id="15" w:name="_Toc31318"/>
      <w:bookmarkStart w:id="16" w:name="_Toc9337"/>
      <w:bookmarkStart w:id="17" w:name="_Toc30756"/>
      <w:bookmarkStart w:id="18" w:name="_Toc9803"/>
      <w:bookmarkStart w:id="19" w:name="_Toc28374"/>
      <w:bookmarkStart w:id="20" w:name="_Toc5505"/>
      <w:bookmarkStart w:id="21" w:name="_Toc29088"/>
      <w:bookmarkStart w:id="22" w:name="_Toc29963"/>
      <w:bookmarkStart w:id="23" w:name="_Toc28028"/>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第一章  研判形势 准确把握新阶段新要求</w:t>
      </w:r>
      <w:bookmarkEnd w:id="12"/>
      <w:bookmarkEnd w:id="13"/>
      <w:bookmarkEnd w:id="14"/>
      <w:bookmarkEnd w:id="15"/>
      <w:bookmarkEnd w:id="16"/>
      <w:bookmarkEnd w:id="17"/>
      <w:bookmarkEnd w:id="18"/>
      <w:bookmarkEnd w:id="19"/>
      <w:bookmarkEnd w:id="20"/>
      <w:bookmarkEnd w:id="21"/>
      <w:bookmarkEnd w:id="22"/>
      <w:bookmarkEnd w:id="23"/>
    </w:p>
    <w:p>
      <w:pPr>
        <w:keepNext w:val="0"/>
        <w:keepLines w:val="0"/>
        <w:widowControl/>
        <w:suppressLineNumbers w:val="0"/>
        <w:jc w:val="left"/>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pP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2019年</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月，广州市农业农村局联合广州海关、香港特区食物及卫生局、澳门特区市政署，在</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广州</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市委、市政府坚强领导下，在国家、省有关单位（特别是农业农村部、广东省农业</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农</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村厅）的指导支持以及合作城市的协同配合下，聚焦维护港澳繁荣稳定发展大局和农业高质量发展，大胆探索，开创性地实施粤港澳大湾区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菜篮子</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工程。历经四年多建设，以广州为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引擎</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畅销湾区、风行全国、走向世界</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的粤港澳大湾区优质农产品产供销一体化服务体系初步建立，粤港澳大湾区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菜篮子</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品牌影响力逐年提升。</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4" w:name="_Toc26603"/>
      <w:bookmarkStart w:id="25" w:name="_Toc13577"/>
      <w:bookmarkStart w:id="26" w:name="_Toc17927"/>
      <w:bookmarkStart w:id="27" w:name="_Toc12530"/>
      <w:bookmarkStart w:id="28" w:name="_Toc23214"/>
      <w:bookmarkStart w:id="29" w:name="_Toc21253"/>
      <w:bookmarkStart w:id="30" w:name="_Toc31501"/>
      <w:bookmarkStart w:id="31" w:name="_Toc22677"/>
      <w:bookmarkStart w:id="32" w:name="_Toc15939"/>
      <w:bookmarkStart w:id="33" w:name="_Toc25537"/>
      <w:bookmarkStart w:id="34" w:name="_Toc18635"/>
      <w:bookmarkStart w:id="35" w:name="_Toc31228"/>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一、发展基础</w:t>
      </w:r>
      <w:bookmarkEnd w:id="24"/>
      <w:bookmarkEnd w:id="25"/>
      <w:bookmarkEnd w:id="26"/>
      <w:bookmarkEnd w:id="27"/>
      <w:bookmarkEnd w:id="28"/>
      <w:bookmarkEnd w:id="29"/>
      <w:bookmarkEnd w:id="30"/>
      <w:bookmarkEnd w:id="31"/>
      <w:bookmarkEnd w:id="32"/>
      <w:bookmarkEnd w:id="33"/>
      <w:bookmarkEnd w:id="34"/>
      <w:bookmarkEnd w:id="35"/>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启动建设以来，粤港澳大湾区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“菜篮子”工程</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在</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管理体系、</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工作机制</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质量安全体系、生产体系、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市场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流通体系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政策体系等方面摸索前行，克服困难，推进</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大湾</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区“菜篮子”工程</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体系格局已立、产业闭环初具、社会成效显著。</w:t>
      </w:r>
    </w:p>
    <w:p>
      <w:pPr>
        <w:pStyle w:val="29"/>
        <w:spacing w:line="360" w:lineRule="auto"/>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（一）理顺了工程的管理体系。</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为推进</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“菜篮子”工程</w:t>
      </w:r>
      <w:r>
        <w:rPr>
          <w:rFonts w:hint="eastAsia" w:ascii="仿宋_GB2312" w:hAnsi="仿宋_GB2312" w:eastAsia="仿宋_GB2312" w:cs="仿宋_GB2312"/>
          <w:color w:val="000000" w:themeColor="text1"/>
          <w:sz w:val="32"/>
          <w:szCs w:val="32"/>
          <w:highlight w:val="none"/>
          <w:lang w:val="en-US" w:eastAsia="zh-CN" w:bidi="ar"/>
          <w14:textFill>
            <w14:solidFill>
              <w14:schemeClr w14:val="tx1"/>
            </w14:solidFill>
          </w14:textFill>
        </w:rPr>
        <w:t>建设，</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构建了完善的组织架构，</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建立</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了广东省农业农村厅指导、广州市政府领导、广州市农业农村局（</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“菜篮子”工</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作办公室</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）牵头建设实施</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、省市相关部门及其他相关城市</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共同参与</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的</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管理体系。</w:t>
      </w:r>
    </w:p>
    <w:p>
      <w:pPr>
        <w:pStyle w:val="29"/>
        <w:spacing w:line="360" w:lineRule="auto"/>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（二）建立健全了联席工作机制。</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建立了穗港、穗澳工作协调机制及城际联席会议机制。</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穗港、穗澳方面，广</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州市农业农村局、广州海关与香港特区政府食物及卫生局共同建立了穗港联席会议，与澳门特区市政署建立了穗澳联席会议，建立了相应议事协调以及信息共享和通报机制，定期召开会议，交流质量安全监管信息，促进</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各地优质农产品供应港澳市场。内地方面，</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与130多</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个地级市（州）农业农村行政主管部门，建立城际联席会议机制，加强质量安全监管和信息交流，将粤港澳大湾区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eastAsia" w:ascii="仿宋_GB2312" w:hAnsi="仿宋_GB2312" w:eastAsia="仿宋_GB2312" w:cs="仿宋_GB2312"/>
          <w:color w:val="000000" w:themeColor="text1"/>
          <w:sz w:val="32"/>
          <w:szCs w:val="32"/>
          <w:highlight w:val="none"/>
          <w:lang w:val="en-US" w:eastAsia="zh-CN" w:bidi="ar"/>
          <w14:textFill>
            <w14:solidFill>
              <w14:schemeClr w14:val="tx1"/>
            </w14:solidFill>
          </w14:textFill>
        </w:rPr>
        <w:t>工程</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建设成为全国优质食用农产品进入粤港澳大湾区市场的</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重要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平台。</w:t>
      </w:r>
    </w:p>
    <w:p>
      <w:pPr>
        <w:pStyle w:val="29"/>
        <w:widowControl/>
        <w:pBdr>
          <w:top w:val="none" w:color="auto" w:sz="0" w:space="0"/>
          <w:left w:val="none" w:color="auto" w:sz="0" w:space="0"/>
          <w:bottom w:val="none" w:color="auto" w:sz="0" w:space="0"/>
          <w:right w:val="none" w:color="auto" w:sz="0" w:space="0"/>
        </w:pBdr>
        <w:shd w:val="clear"/>
        <w:spacing w:line="360" w:lineRule="auto"/>
        <w:ind w:firstLine="482"/>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（三）打造了大湾区高品质农产品质量安全体系。</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制定出台粤港澳大湾区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平台</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产品</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质量安全指标体系</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团体标准10项</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，初步实现</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一个标准</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供市场，填补国家、行业标准空白。</w:t>
      </w:r>
      <w:r>
        <w:rPr>
          <w:rFonts w:hint="default"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在此</w:t>
      </w:r>
      <w:r>
        <w:rPr>
          <w:rFonts w:hint="default" w:ascii="Times New Roman" w:hAnsi="Times New Roman" w:eastAsia="仿宋_GB2312" w:cs="Times New Roman"/>
          <w:i w:val="0"/>
          <w:iCs w:val="0"/>
          <w:caps w:val="0"/>
          <w:color w:val="000000" w:themeColor="text1"/>
          <w:spacing w:val="0"/>
          <w:sz w:val="32"/>
          <w:szCs w:val="22"/>
          <w:highlight w:val="none"/>
          <w:shd w:val="clear"/>
          <w:lang w:val="en-US"/>
          <w14:textFill>
            <w14:solidFill>
              <w14:schemeClr w14:val="tx1"/>
            </w14:solidFill>
          </w14:textFill>
        </w:rPr>
        <w:t>基础上，</w:t>
      </w:r>
      <w:r>
        <w:rPr>
          <w:rFonts w:hint="default" w:ascii="Times New Roman" w:hAnsi="Times New Roman" w:eastAsia="仿宋_GB2312" w:cs="Times New Roman"/>
          <w:b w:val="0"/>
          <w:bCs w:val="0"/>
          <w:color w:val="000000" w:themeColor="text1"/>
          <w:sz w:val="32"/>
          <w:szCs w:val="22"/>
          <w:highlight w:val="none"/>
          <w:lang w:eastAsia="zh-CN"/>
          <w14:textFill>
            <w14:solidFill>
              <w14:schemeClr w14:val="tx1"/>
            </w14:solidFill>
          </w14:textFill>
        </w:rPr>
        <w:t>配合</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广东</w:t>
      </w:r>
      <w:r>
        <w:rPr>
          <w:rFonts w:hint="default" w:ascii="Times New Roman" w:hAnsi="Times New Roman" w:eastAsia="仿宋_GB2312" w:cs="Times New Roman"/>
          <w:b w:val="0"/>
          <w:bCs w:val="0"/>
          <w:color w:val="000000" w:themeColor="text1"/>
          <w:sz w:val="32"/>
          <w:szCs w:val="22"/>
          <w:highlight w:val="none"/>
          <w:lang w:eastAsia="zh-CN"/>
          <w14:textFill>
            <w14:solidFill>
              <w14:schemeClr w14:val="tx1"/>
            </w14:solidFill>
          </w14:textFill>
        </w:rPr>
        <w:t>省市场监督管理局</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编制</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完成</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蔬菜、</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畜禽肉及副产品</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、鲜蛋、</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热带和亚热带水果四大类</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近20</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项</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湾区标准</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逐步</w:t>
      </w:r>
      <w:r>
        <w:rPr>
          <w:rFonts w:hint="default" w:ascii="Times New Roman" w:hAnsi="Times New Roman" w:eastAsia="仿宋_GB2312" w:cs="Times New Roman"/>
          <w:i w:val="0"/>
          <w:iCs w:val="0"/>
          <w:caps w:val="0"/>
          <w:color w:val="000000" w:themeColor="text1"/>
          <w:spacing w:val="0"/>
          <w:sz w:val="32"/>
          <w:szCs w:val="22"/>
          <w:highlight w:val="none"/>
          <w:shd w:val="clear"/>
          <w:lang w:val="en-US"/>
          <w14:textFill>
            <w14:solidFill>
              <w14:schemeClr w14:val="tx1"/>
            </w14:solidFill>
          </w14:textFill>
        </w:rPr>
        <w:t>形成国际性区域标准，在农产品安全技术层面实现湾区规则对接。</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以</w:t>
      </w:r>
      <w:r>
        <w:rPr>
          <w:rFonts w:hint="eastAsia" w:ascii="仿宋_GB2312" w:hAnsi="仿宋_GB2312" w:eastAsia="仿宋_GB2312" w:cs="仿宋_GB2312"/>
          <w:b w:val="0"/>
          <w:bCs w:val="0"/>
          <w:color w:val="000000" w:themeColor="text1"/>
          <w:sz w:val="32"/>
          <w:szCs w:val="32"/>
          <w:highlight w:val="none"/>
          <w:lang w:val="zh-CN" w:eastAsia="zh-CN" w:bidi="ar"/>
          <w14:textFill>
            <w14:solidFill>
              <w14:schemeClr w14:val="tx1"/>
            </w14:solidFill>
          </w14:textFill>
        </w:rPr>
        <w:t>全程监管</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为目标，建立了品种-生产-加工-销售全链条、全通透的质量安全溯源体系和属地海关、农业主管部门双重监管以及随机抽查机制。在全国率先创建粤港澳大湾区</w:t>
      </w:r>
      <w:r>
        <w:rPr>
          <w:rFonts w:hint="eastAsia" w:ascii="仿宋_GB2312" w:hAnsi="仿宋_GB2312" w:eastAsia="仿宋_GB2312" w:cs="仿宋_GB2312"/>
          <w:b w:val="0"/>
          <w:bCs w:val="0"/>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农产品质量安全溯源管理平台，实行溯源与监管同步和产品</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逢出必检</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逢进必检</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的制度机制，产品线上线下</w:t>
      </w:r>
      <w:r>
        <w:rPr>
          <w:rFonts w:hint="eastAsia" w:ascii="仿宋_GB2312" w:hAnsi="仿宋_GB2312" w:eastAsia="仿宋_GB2312" w:cs="仿宋_GB2312"/>
          <w:b w:val="0"/>
          <w:bCs w:val="0"/>
          <w:color w:val="000000" w:themeColor="text1"/>
          <w:sz w:val="32"/>
          <w:szCs w:val="32"/>
          <w:highlight w:val="none"/>
          <w:lang w:val="zh-CN" w:eastAsia="zh-CN" w:bidi="ar"/>
          <w14:textFill>
            <w14:solidFill>
              <w14:schemeClr w14:val="tx1"/>
            </w14:solidFill>
          </w14:textFill>
        </w:rPr>
        <w:t>“一品一码”</w:t>
      </w:r>
      <w:r>
        <w:rPr>
          <w:rFonts w:hint="eastAsia" w:ascii="仿宋_GB2312" w:hAnsi="仿宋_GB2312" w:eastAsia="仿宋_GB2312" w:cs="仿宋_GB2312"/>
          <w:b w:val="0"/>
          <w:bCs w:val="0"/>
          <w:color w:val="000000" w:themeColor="text1"/>
          <w:sz w:val="32"/>
          <w:szCs w:val="32"/>
          <w:highlight w:val="none"/>
          <w:lang w:val="en-US" w:eastAsia="zh-CN" w:bidi="ar"/>
          <w14:textFill>
            <w14:solidFill>
              <w14:schemeClr w14:val="tx1"/>
            </w14:solidFill>
          </w14:textFill>
        </w:rPr>
        <w:t>及“多码叠加”</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管理，生产、流通全程可监控。</w:t>
      </w:r>
      <w:r>
        <w:rPr>
          <w:rFonts w:hint="default" w:ascii="Times New Roman" w:hAnsi="Times New Roman" w:eastAsia="仿宋_GB2312" w:cs="Times New Roman"/>
          <w:color w:val="000000" w:themeColor="text1"/>
          <w:sz w:val="32"/>
          <w:szCs w:val="22"/>
          <w:highlight w:val="none"/>
          <w14:textFill>
            <w14:solidFill>
              <w14:schemeClr w14:val="tx1"/>
            </w14:solidFill>
          </w14:textFill>
        </w:rPr>
        <w:t>据不完全统计，</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截至2022年，</w:t>
      </w:r>
      <w:r>
        <w:rPr>
          <w:rFonts w:hint="default" w:ascii="Times New Roman" w:hAnsi="Times New Roman" w:eastAsia="仿宋_GB2312" w:cs="Times New Roman"/>
          <w:color w:val="000000" w:themeColor="text1"/>
          <w:sz w:val="32"/>
          <w:szCs w:val="22"/>
          <w:highlight w:val="none"/>
          <w14:textFill>
            <w14:solidFill>
              <w14:schemeClr w14:val="tx1"/>
            </w14:solidFill>
          </w14:textFill>
        </w:rPr>
        <w:t>系列标准的应用共</w:t>
      </w:r>
      <w:r>
        <w:rPr>
          <w:rFonts w:hint="eastAsia" w:ascii="Times New Roman" w:hAnsi="Times New Roman" w:eastAsia="仿宋_GB2312" w:cs="Times New Roman"/>
          <w:color w:val="000000" w:themeColor="text1"/>
          <w:sz w:val="32"/>
          <w:szCs w:val="22"/>
          <w:highlight w:val="none"/>
          <w:lang w:eastAsia="zh-CN"/>
          <w14:textFill>
            <w14:solidFill>
              <w14:schemeClr w14:val="tx1"/>
            </w14:solidFill>
          </w14:textFill>
        </w:rPr>
        <w:t>覆盖</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1600多</w:t>
      </w:r>
      <w:r>
        <w:rPr>
          <w:rFonts w:hint="default" w:ascii="Times New Roman" w:hAnsi="Times New Roman" w:eastAsia="仿宋_GB2312" w:cs="Times New Roman"/>
          <w:color w:val="000000" w:themeColor="text1"/>
          <w:sz w:val="32"/>
          <w:szCs w:val="22"/>
          <w:highlight w:val="none"/>
          <w14:textFill>
            <w14:solidFill>
              <w14:schemeClr w14:val="tx1"/>
            </w14:solidFill>
          </w14:textFill>
        </w:rPr>
        <w:t>个生产基地，优质安全可溯源产品的</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累计平台</w:t>
      </w:r>
      <w:r>
        <w:rPr>
          <w:rFonts w:hint="default" w:ascii="Times New Roman" w:hAnsi="Times New Roman" w:eastAsia="仿宋_GB2312" w:cs="Times New Roman"/>
          <w:color w:val="000000" w:themeColor="text1"/>
          <w:sz w:val="32"/>
          <w:szCs w:val="22"/>
          <w:highlight w:val="none"/>
          <w14:textFill>
            <w14:solidFill>
              <w14:schemeClr w14:val="tx1"/>
            </w14:solidFill>
          </w14:textFill>
        </w:rPr>
        <w:t>流通量逾</w:t>
      </w:r>
      <w:r>
        <w:rPr>
          <w:rFonts w:hint="default" w:ascii="Times New Roman" w:hAnsi="Times New Roman" w:eastAsia="仿宋_GB2312" w:cs="Times New Roman"/>
          <w:color w:val="000000" w:themeColor="text1"/>
          <w:sz w:val="32"/>
          <w:szCs w:val="22"/>
          <w:highlight w:val="none"/>
          <w:lang w:val="en-US"/>
          <w14:textFill>
            <w14:solidFill>
              <w14:schemeClr w14:val="tx1"/>
            </w14:solidFill>
          </w14:textFill>
        </w:rPr>
        <w:t>14</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0多</w:t>
      </w:r>
      <w:r>
        <w:rPr>
          <w:rFonts w:hint="default" w:ascii="Times New Roman" w:hAnsi="Times New Roman" w:eastAsia="仿宋_GB2312" w:cs="Times New Roman"/>
          <w:color w:val="000000" w:themeColor="text1"/>
          <w:sz w:val="32"/>
          <w:szCs w:val="22"/>
          <w:highlight w:val="none"/>
          <w14:textFill>
            <w14:solidFill>
              <w14:schemeClr w14:val="tx1"/>
            </w14:solidFill>
          </w14:textFill>
        </w:rPr>
        <w:t>万吨。</w:t>
      </w:r>
    </w:p>
    <w:p>
      <w:pPr>
        <w:pStyle w:val="29"/>
        <w:widowControl/>
        <w:spacing w:line="360" w:lineRule="auto"/>
        <w:ind w:left="0" w:leftChars="0" w:firstLine="640" w:firstLineChars="200"/>
        <w:jc w:val="left"/>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（四）初步搭建了规模化的生产体系。</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截</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至</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2022年</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6月</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，全国范围内，认定了</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1600多个</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生产基地，认定基地遍及广东、湖南、山东、江西、云南、甘肃、广西、宁夏等国内优质农产品集散地</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。广东省内20个地级市均实现基地覆盖。基地产品涉及种植、养殖、加工三大类20小类，农产品品类较齐全（图1-1、图1-2、表1-1）。持续的生产基地认定</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奠定了标准化</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规模化</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品牌化生产体系建设的根基。</w:t>
      </w:r>
    </w:p>
    <w:p>
      <w:pPr>
        <w:pStyle w:val="29"/>
        <w:widowControl/>
        <w:spacing w:line="360" w:lineRule="auto"/>
        <w:ind w:left="0" w:leftChars="0" w:firstLine="640" w:firstLineChars="200"/>
        <w:jc w:val="left"/>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sectPr>
          <w:footerReference r:id="rId3" w:type="default"/>
          <w:pgSz w:w="11906" w:h="16838"/>
          <w:pgMar w:top="2098" w:right="1474" w:bottom="1984" w:left="1474"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9"/>
        <w:spacing w:line="360" w:lineRule="auto"/>
        <w:ind w:left="0" w:leftChars="0" w:firstLine="0" w:firstLineChars="0"/>
        <w:jc w:val="center"/>
        <w:rPr>
          <w:rFonts w:hint="default" w:ascii="Times New Roman" w:hAnsi="Times New Roman" w:eastAsia="仿宋_GB2312" w:cs="Times New Roman"/>
          <w:b/>
          <w:bCs/>
          <w:color w:val="000000" w:themeColor="text1"/>
          <w:sz w:val="28"/>
          <w:szCs w:val="21"/>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1"/>
          <w:highlight w:val="none"/>
          <w:lang w:val="en-US" w:eastAsia="zh-CN"/>
          <w14:textFill>
            <w14:solidFill>
              <w14:schemeClr w14:val="tx1"/>
            </w14:solidFill>
          </w14:textFill>
        </w:rPr>
        <w:drawing>
          <wp:inline distT="0" distB="0" distL="114300" distR="114300">
            <wp:extent cx="7028815" cy="4685665"/>
            <wp:effectExtent l="0" t="0" r="12065" b="8255"/>
            <wp:docPr id="1" name="图片 1" descr="图2  粤港澳大湾区“菜篮子”生产基地分布（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2  粤港澳大湾区“菜篮子”生产基地分布（全国）"/>
                    <pic:cNvPicPr>
                      <a:picLocks noChangeAspect="1"/>
                    </pic:cNvPicPr>
                  </pic:nvPicPr>
                  <pic:blipFill>
                    <a:blip r:embed="rId5"/>
                    <a:stretch>
                      <a:fillRect/>
                    </a:stretch>
                  </pic:blipFill>
                  <pic:spPr>
                    <a:xfrm>
                      <a:off x="0" y="0"/>
                      <a:ext cx="7028815" cy="4685665"/>
                    </a:xfrm>
                    <a:prstGeom prst="rect">
                      <a:avLst/>
                    </a:prstGeom>
                  </pic:spPr>
                </pic:pic>
              </a:graphicData>
            </a:graphic>
          </wp:inline>
        </w:drawing>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图1-1  粤港澳大湾区“菜篮子”生产基地分布（全国，截至2022年6月）</w:t>
      </w:r>
    </w:p>
    <w:p>
      <w:pPr>
        <w:pStyle w:val="29"/>
        <w:spacing w:line="360" w:lineRule="auto"/>
        <w:ind w:left="0" w:leftChars="0" w:firstLine="0" w:firstLineChars="0"/>
        <w:jc w:val="center"/>
        <w:rPr>
          <w:color w:val="000000" w:themeColor="text1"/>
          <w:highlight w:val="none"/>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drawing>
          <wp:inline distT="0" distB="0" distL="114935" distR="114935">
            <wp:extent cx="5361940" cy="2894330"/>
            <wp:effectExtent l="4445" t="4445" r="13335" b="12065"/>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图1-2 粤港澳大湾区“菜篮子”生产基地分布（广东省，截至2022年6月）</w:t>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表1-1 粤港澳大湾区“菜篮子”生产基地品类分布（截至2022年6月）</w:t>
      </w:r>
    </w:p>
    <w:tbl>
      <w:tblPr>
        <w:tblStyle w:val="27"/>
        <w:tblW w:w="845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73"/>
        <w:gridCol w:w="2145"/>
        <w:gridCol w:w="38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single" w:color="C6ECF9" w:sz="8" w:space="0"/>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种植类</w:t>
            </w:r>
          </w:p>
        </w:tc>
        <w:tc>
          <w:tcPr>
            <w:tcW w:w="2145"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数量（家）</w:t>
            </w:r>
          </w:p>
        </w:tc>
        <w:tc>
          <w:tcPr>
            <w:tcW w:w="3838"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single" w:color="C6ECF9" w:sz="8" w:space="0"/>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蔬菜</w:t>
            </w:r>
          </w:p>
        </w:tc>
        <w:tc>
          <w:tcPr>
            <w:tcW w:w="2145" w:type="dxa"/>
            <w:tcBorders>
              <w:top w:val="single" w:color="17B2DF" w:sz="8" w:space="0"/>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781</w:t>
            </w:r>
          </w:p>
        </w:tc>
        <w:tc>
          <w:tcPr>
            <w:tcW w:w="3838" w:type="dxa"/>
            <w:tcBorders>
              <w:top w:val="single" w:color="17B2DF" w:sz="8" w:space="0"/>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67.27%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nil"/>
              <w:left w:val="single" w:color="C6ECF9" w:sz="8" w:space="0"/>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水果</w:t>
            </w:r>
          </w:p>
        </w:tc>
        <w:tc>
          <w:tcPr>
            <w:tcW w:w="2145"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365</w:t>
            </w:r>
          </w:p>
        </w:tc>
        <w:tc>
          <w:tcPr>
            <w:tcW w:w="3838"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31.44%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nil"/>
              <w:left w:val="single" w:color="C6ECF9" w:sz="8" w:space="0"/>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油料作物</w:t>
            </w:r>
          </w:p>
        </w:tc>
        <w:tc>
          <w:tcPr>
            <w:tcW w:w="2145" w:type="dxa"/>
            <w:tcBorders>
              <w:top w:val="nil"/>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15</w:t>
            </w:r>
          </w:p>
        </w:tc>
        <w:tc>
          <w:tcPr>
            <w:tcW w:w="3838" w:type="dxa"/>
            <w:tcBorders>
              <w:top w:val="nil"/>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nil"/>
              <w:left w:val="single" w:color="C6ECF9" w:sz="8" w:space="0"/>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种植基地合计</w:t>
            </w:r>
          </w:p>
        </w:tc>
        <w:tc>
          <w:tcPr>
            <w:tcW w:w="2145"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1161</w:t>
            </w:r>
          </w:p>
        </w:tc>
        <w:tc>
          <w:tcPr>
            <w:tcW w:w="3838"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种植业占生产基地71.27%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single" w:color="C6ECF9" w:sz="8" w:space="0"/>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加工类</w:t>
            </w:r>
          </w:p>
        </w:tc>
        <w:tc>
          <w:tcPr>
            <w:tcW w:w="2145"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Style w:val="45"/>
                <w:rFonts w:hint="eastAsia" w:ascii="仿宋_GB2312" w:hAnsi="仿宋_GB2312" w:eastAsia="仿宋_GB2312" w:cs="仿宋_GB2312"/>
                <w:color w:val="000000" w:themeColor="text1"/>
                <w:sz w:val="24"/>
                <w:szCs w:val="24"/>
                <w:lang w:val="en-US" w:eastAsia="zh-CN" w:bidi="ar"/>
                <w14:textFill>
                  <w14:solidFill>
                    <w14:schemeClr w14:val="tx1"/>
                  </w14:solidFill>
                </w14:textFill>
              </w:rPr>
              <w:t>数量（家）</w:t>
            </w:r>
          </w:p>
        </w:tc>
        <w:tc>
          <w:tcPr>
            <w:tcW w:w="3838"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Style w:val="45"/>
                <w:rFonts w:hint="eastAsia" w:ascii="仿宋_GB2312" w:hAnsi="仿宋_GB2312" w:eastAsia="仿宋_GB2312" w:cs="仿宋_GB2312"/>
                <w:color w:val="000000" w:themeColor="text1"/>
                <w:sz w:val="24"/>
                <w:szCs w:val="24"/>
                <w:lang w:val="en-US" w:eastAsia="zh-CN" w:bidi="ar"/>
                <w14:textFill>
                  <w14:solidFill>
                    <w14:schemeClr w14:val="tx1"/>
                  </w14:solidFill>
                </w14:textFill>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dotted" w:color="000000" w:sz="4" w:space="0"/>
              <w:left w:val="single" w:color="C6ECF9" w:sz="8" w:space="0"/>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乳制品</w:t>
            </w:r>
          </w:p>
        </w:tc>
        <w:tc>
          <w:tcPr>
            <w:tcW w:w="2145" w:type="dxa"/>
            <w:tcBorders>
              <w:top w:val="dotted" w:color="000000" w:sz="4" w:space="0"/>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6</w:t>
            </w:r>
          </w:p>
        </w:tc>
        <w:tc>
          <w:tcPr>
            <w:tcW w:w="3838" w:type="dxa"/>
            <w:tcBorders>
              <w:top w:val="dotted" w:color="000000" w:sz="4" w:space="0"/>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nil"/>
              <w:left w:val="single" w:color="C6ECF9" w:sz="8" w:space="0"/>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冰鲜水产</w:t>
            </w:r>
          </w:p>
        </w:tc>
        <w:tc>
          <w:tcPr>
            <w:tcW w:w="2145"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8</w:t>
            </w:r>
          </w:p>
        </w:tc>
        <w:tc>
          <w:tcPr>
            <w:tcW w:w="3838"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26.67%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nil"/>
              <w:left w:val="single" w:color="C6ECF9" w:sz="8" w:space="0"/>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果蔬</w:t>
            </w:r>
          </w:p>
        </w:tc>
        <w:tc>
          <w:tcPr>
            <w:tcW w:w="2145" w:type="dxa"/>
            <w:tcBorders>
              <w:top w:val="nil"/>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3</w:t>
            </w:r>
          </w:p>
        </w:tc>
        <w:tc>
          <w:tcPr>
            <w:tcW w:w="3838" w:type="dxa"/>
            <w:tcBorders>
              <w:top w:val="nil"/>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nil"/>
              <w:left w:val="single" w:color="C6ECF9" w:sz="8" w:space="0"/>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肉制品</w:t>
            </w:r>
          </w:p>
        </w:tc>
        <w:tc>
          <w:tcPr>
            <w:tcW w:w="2145"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10</w:t>
            </w:r>
          </w:p>
        </w:tc>
        <w:tc>
          <w:tcPr>
            <w:tcW w:w="3838"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nil"/>
              <w:left w:val="single" w:color="C6ECF9" w:sz="8" w:space="0"/>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咸蛋制品</w:t>
            </w:r>
          </w:p>
        </w:tc>
        <w:tc>
          <w:tcPr>
            <w:tcW w:w="2145" w:type="dxa"/>
            <w:tcBorders>
              <w:top w:val="nil"/>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2</w:t>
            </w:r>
          </w:p>
        </w:tc>
        <w:tc>
          <w:tcPr>
            <w:tcW w:w="3838" w:type="dxa"/>
            <w:tcBorders>
              <w:top w:val="nil"/>
              <w:left w:val="nil"/>
              <w:bottom w:val="dotted" w:color="000000" w:sz="4"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nil"/>
              <w:left w:val="single" w:color="C6ECF9" w:sz="8" w:space="0"/>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4"/>
                <w:szCs w:val="24"/>
                <w:highlight w:val="none"/>
                <w:u w:val="none"/>
                <w:lang w:val="en-US" w:eastAsia="zh-CN" w:bidi="ar"/>
                <w14:textFill>
                  <w14:solidFill>
                    <w14:schemeClr w14:val="tx1"/>
                  </w14:solidFill>
                </w14:textFill>
              </w:rPr>
              <w:t>淀粉</w:t>
            </w:r>
          </w:p>
        </w:tc>
        <w:tc>
          <w:tcPr>
            <w:tcW w:w="2145"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w:t>
            </w:r>
          </w:p>
        </w:tc>
        <w:tc>
          <w:tcPr>
            <w:tcW w:w="3838" w:type="dxa"/>
            <w:tcBorders>
              <w:top w:val="nil"/>
              <w:left w:val="nil"/>
              <w:bottom w:val="dotted" w:color="000000" w:sz="4"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加工基地合计</w:t>
            </w:r>
          </w:p>
        </w:tc>
        <w:tc>
          <w:tcPr>
            <w:tcW w:w="2145" w:type="dxa"/>
            <w:tcBorders>
              <w:top w:val="single" w:color="17B2DF" w:sz="8" w:space="0"/>
              <w:left w:val="nil"/>
              <w:bottom w:val="single" w:color="17B2DF" w:sz="8"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30</w:t>
            </w:r>
          </w:p>
        </w:tc>
        <w:tc>
          <w:tcPr>
            <w:tcW w:w="3838" w:type="dxa"/>
            <w:tcBorders>
              <w:top w:val="single" w:color="17B2DF" w:sz="8" w:space="0"/>
              <w:left w:val="nil"/>
              <w:bottom w:val="single" w:color="17B2DF" w:sz="8"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sz w:val="24"/>
                <w:szCs w:val="24"/>
                <w:highlight w:val="none"/>
                <w:u w:val="none"/>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加工类占生产基地1.84%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养殖类</w:t>
            </w:r>
          </w:p>
        </w:tc>
        <w:tc>
          <w:tcPr>
            <w:tcW w:w="2145"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数量（家）</w:t>
            </w:r>
          </w:p>
        </w:tc>
        <w:tc>
          <w:tcPr>
            <w:tcW w:w="3838"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畜禽（猪）</w:t>
            </w:r>
          </w:p>
        </w:tc>
        <w:tc>
          <w:tcPr>
            <w:tcW w:w="2145" w:type="dxa"/>
            <w:tcBorders>
              <w:top w:val="single" w:color="17B2DF" w:sz="8" w:space="0"/>
              <w:left w:val="nil"/>
              <w:bottom w:val="single" w:color="17B2DF" w:sz="8"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98</w:t>
            </w:r>
          </w:p>
        </w:tc>
        <w:tc>
          <w:tcPr>
            <w:tcW w:w="3838" w:type="dxa"/>
            <w:tcBorders>
              <w:top w:val="single" w:color="17B2DF" w:sz="8" w:space="0"/>
              <w:left w:val="nil"/>
              <w:bottom w:val="single" w:color="17B2DF" w:sz="8" w:space="0"/>
              <w:right w:val="dotted" w:color="000000" w:sz="4" w:space="0"/>
            </w:tcBorders>
            <w:shd w:val="clear" w:color="auto" w:fill="FFFFFF"/>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23.67%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畜禽（鸡）</w:t>
            </w:r>
          </w:p>
        </w:tc>
        <w:tc>
          <w:tcPr>
            <w:tcW w:w="2145"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74</w:t>
            </w:r>
          </w:p>
        </w:tc>
        <w:tc>
          <w:tcPr>
            <w:tcW w:w="3838"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17.87%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畜禽（鸭）</w:t>
            </w:r>
          </w:p>
        </w:tc>
        <w:tc>
          <w:tcPr>
            <w:tcW w:w="2145"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13</w:t>
            </w:r>
          </w:p>
        </w:tc>
        <w:tc>
          <w:tcPr>
            <w:tcW w:w="3838"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畜禽（鸽）</w:t>
            </w:r>
          </w:p>
        </w:tc>
        <w:tc>
          <w:tcPr>
            <w:tcW w:w="2145"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12</w:t>
            </w:r>
          </w:p>
        </w:tc>
        <w:tc>
          <w:tcPr>
            <w:tcW w:w="3838"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畜禽（鹅）</w:t>
            </w:r>
          </w:p>
        </w:tc>
        <w:tc>
          <w:tcPr>
            <w:tcW w:w="2145"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4</w:t>
            </w:r>
          </w:p>
        </w:tc>
        <w:tc>
          <w:tcPr>
            <w:tcW w:w="3838"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畜禽（羊）</w:t>
            </w:r>
          </w:p>
        </w:tc>
        <w:tc>
          <w:tcPr>
            <w:tcW w:w="2145"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5</w:t>
            </w:r>
          </w:p>
        </w:tc>
        <w:tc>
          <w:tcPr>
            <w:tcW w:w="3838"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畜禽（牛）</w:t>
            </w:r>
          </w:p>
        </w:tc>
        <w:tc>
          <w:tcPr>
            <w:tcW w:w="2145"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11</w:t>
            </w:r>
          </w:p>
        </w:tc>
        <w:tc>
          <w:tcPr>
            <w:tcW w:w="3838"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畜禽（其他肉类）</w:t>
            </w:r>
          </w:p>
        </w:tc>
        <w:tc>
          <w:tcPr>
            <w:tcW w:w="2145"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3</w:t>
            </w:r>
          </w:p>
        </w:tc>
        <w:tc>
          <w:tcPr>
            <w:tcW w:w="3838"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禽蛋</w:t>
            </w:r>
          </w:p>
        </w:tc>
        <w:tc>
          <w:tcPr>
            <w:tcW w:w="2145"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68</w:t>
            </w:r>
          </w:p>
        </w:tc>
        <w:tc>
          <w:tcPr>
            <w:tcW w:w="3838"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水产</w:t>
            </w:r>
          </w:p>
        </w:tc>
        <w:tc>
          <w:tcPr>
            <w:tcW w:w="2145"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117</w:t>
            </w:r>
          </w:p>
        </w:tc>
        <w:tc>
          <w:tcPr>
            <w:tcW w:w="3838"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28.26%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0"/>
                <w:rFonts w:hint="eastAsia" w:ascii="仿宋_GB2312" w:hAnsi="仿宋_GB2312" w:eastAsia="仿宋_GB2312" w:cs="仿宋_GB2312"/>
                <w:color w:val="000000" w:themeColor="text1"/>
                <w:sz w:val="24"/>
                <w:szCs w:val="24"/>
                <w:lang w:val="en-US" w:eastAsia="zh-CN" w:bidi="ar"/>
                <w14:textFill>
                  <w14:solidFill>
                    <w14:schemeClr w14:val="tx1"/>
                  </w14:solidFill>
                </w14:textFill>
              </w:rPr>
              <w:t>蜂产品</w:t>
            </w:r>
          </w:p>
        </w:tc>
        <w:tc>
          <w:tcPr>
            <w:tcW w:w="2145"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9</w:t>
            </w:r>
          </w:p>
        </w:tc>
        <w:tc>
          <w:tcPr>
            <w:tcW w:w="3838"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4"/>
                <w:szCs w:val="24"/>
                <w:highlight w:val="none"/>
                <w:u w:val="none"/>
                <w:lang w:val="en-US" w:eastAsia="zh-CN" w:bidi="ar"/>
                <w14:textFill>
                  <w14:solidFill>
                    <w14:schemeClr w14:val="tx1"/>
                  </w14:solidFill>
                </w14:textFill>
              </w:rPr>
              <w:t>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5"/>
                <w:rFonts w:hint="eastAsia" w:ascii="仿宋_GB2312" w:hAnsi="仿宋_GB2312" w:eastAsia="仿宋_GB2312" w:cs="仿宋_GB2312"/>
                <w:color w:val="000000" w:themeColor="text1"/>
                <w:sz w:val="24"/>
                <w:szCs w:val="24"/>
                <w:lang w:val="en-US" w:eastAsia="zh-CN" w:bidi="ar"/>
                <w14:textFill>
                  <w14:solidFill>
                    <w14:schemeClr w14:val="tx1"/>
                  </w14:solidFill>
                </w14:textFill>
              </w:rPr>
              <w:t>养殖基地合计</w:t>
            </w:r>
          </w:p>
        </w:tc>
        <w:tc>
          <w:tcPr>
            <w:tcW w:w="2145"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414</w:t>
            </w:r>
          </w:p>
        </w:tc>
        <w:tc>
          <w:tcPr>
            <w:tcW w:w="3838" w:type="dxa"/>
            <w:tcBorders>
              <w:top w:val="single" w:color="17B2DF" w:sz="8" w:space="0"/>
              <w:left w:val="nil"/>
              <w:bottom w:val="single" w:color="17B2DF" w:sz="8" w:space="0"/>
              <w:right w:val="dotted" w:color="000000" w:sz="4" w:space="0"/>
            </w:tcBorders>
            <w:shd w:val="clear" w:color="auto" w:fill="EDFAFE"/>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养殖类占生产基地25.41%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Style w:val="45"/>
                <w:rFonts w:hint="eastAsia" w:ascii="仿宋_GB2312" w:hAnsi="仿宋_GB2312" w:eastAsia="仿宋_GB2312" w:cs="仿宋_GB2312"/>
                <w:color w:val="000000" w:themeColor="text1"/>
                <w:sz w:val="24"/>
                <w:szCs w:val="24"/>
                <w:lang w:val="en-US" w:eastAsia="zh-CN" w:bidi="ar"/>
                <w14:textFill>
                  <w14:solidFill>
                    <w14:schemeClr w14:val="tx1"/>
                  </w14:solidFill>
                </w14:textFill>
              </w:rPr>
              <w:t>香港信誉农场合计</w:t>
            </w:r>
          </w:p>
        </w:tc>
        <w:tc>
          <w:tcPr>
            <w:tcW w:w="2145"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24</w:t>
            </w:r>
          </w:p>
        </w:tc>
        <w:tc>
          <w:tcPr>
            <w:tcW w:w="3838" w:type="dxa"/>
            <w:tcBorders>
              <w:top w:val="single" w:color="17B2DF" w:sz="8" w:space="0"/>
              <w:left w:val="nil"/>
              <w:bottom w:val="single" w:color="17B2DF" w:sz="8" w:space="0"/>
              <w:right w:val="dotted" w:color="000000" w:sz="4" w:space="0"/>
            </w:tcBorders>
            <w:shd w:val="clear" w:color="auto" w:fill="FFFFFF" w:themeFill="background1"/>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u w:val="none"/>
                <w:lang w:val="en-US" w:eastAsia="zh-CN" w:bidi="ar"/>
                <w14:textFill>
                  <w14:solidFill>
                    <w14:schemeClr w14:val="tx1"/>
                  </w14:solidFill>
                </w14:textFill>
              </w:rPr>
              <w:t>香港信誉农场占生产基地1.47%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2473"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总计</w:t>
            </w:r>
          </w:p>
        </w:tc>
        <w:tc>
          <w:tcPr>
            <w:tcW w:w="2145"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1629</w:t>
            </w:r>
          </w:p>
        </w:tc>
        <w:tc>
          <w:tcPr>
            <w:tcW w:w="3838" w:type="dxa"/>
            <w:tcBorders>
              <w:top w:val="single" w:color="17B2DF" w:sz="8" w:space="0"/>
              <w:left w:val="nil"/>
              <w:bottom w:val="single" w:color="17B2DF" w:sz="8" w:space="0"/>
              <w:right w:val="dotted" w:color="000000" w:sz="4" w:space="0"/>
            </w:tcBorders>
            <w:shd w:val="clear" w:color="auto" w:fill="C6ECF9"/>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_GB2312" w:hAnsi="仿宋_GB2312" w:eastAsia="仿宋_GB2312" w:cs="仿宋_GB2312"/>
                <w:b/>
                <w:bCs/>
                <w:i w:val="0"/>
                <w:iCs w:val="0"/>
                <w:color w:val="000000" w:themeColor="text1"/>
                <w:kern w:val="0"/>
                <w:sz w:val="24"/>
                <w:szCs w:val="24"/>
                <w:highlight w:val="none"/>
                <w:u w:val="none"/>
                <w:lang w:val="en-US" w:eastAsia="zh-CN" w:bidi="ar"/>
                <w14:textFill>
                  <w14:solidFill>
                    <w14:schemeClr w14:val="tx1"/>
                  </w14:solidFill>
                </w14:textFill>
              </w:rPr>
              <w:t>100%</w:t>
            </w:r>
          </w:p>
        </w:tc>
      </w:tr>
    </w:tbl>
    <w:p>
      <w:pPr>
        <w:pStyle w:val="29"/>
        <w:spacing w:line="360" w:lineRule="auto"/>
        <w:ind w:firstLine="482"/>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（五）初步构建了多元化的市场流通体系。</w:t>
      </w:r>
      <w:r>
        <w:rPr>
          <w:rFonts w:hint="eastAsia" w:ascii="Times New Roman" w:hAnsi="Times New Roman" w:eastAsia="仿宋_GB2312" w:cs="Times New Roman"/>
          <w:color w:val="000000" w:themeColor="text1"/>
          <w:sz w:val="32"/>
          <w:szCs w:val="22"/>
          <w:highlight w:val="none"/>
          <w:lang w:val="zh-CN" w:eastAsia="zh-CN"/>
          <w14:textFill>
            <w14:solidFill>
              <w14:schemeClr w14:val="tx1"/>
            </w14:solidFill>
          </w14:textFill>
        </w:rPr>
        <w:t>按照质量安全权威性、贸易活动公平性、服务民生公益性的原则，</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建立了由</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粤港澳大</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湾区“菜篮子”平台指挥中心、</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农产品质量安全溯源管理平台</w:t>
      </w:r>
      <w:r>
        <w:rPr>
          <w:rFonts w:hint="eastAsia" w:ascii="Times New Roman" w:hAnsi="Times New Roman" w:eastAsia="仿宋_GB2312" w:cs="Times New Roman"/>
          <w:color w:val="000000" w:themeColor="text1"/>
          <w:sz w:val="32"/>
          <w:szCs w:val="22"/>
          <w:highlight w:val="none"/>
          <w:lang w:val="zh-CN"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产</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品配送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中心</w:t>
      </w:r>
      <w:r>
        <w:rPr>
          <w:rFonts w:hint="eastAsia"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和各类型市场终端</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构成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的</w:t>
      </w:r>
      <w:r>
        <w:rPr>
          <w:rFonts w:hint="default" w:ascii="Times New Roman" w:hAnsi="Times New Roman" w:eastAsia="仿宋_GB2312" w:cs="Times New Roman"/>
          <w:b w:val="0"/>
          <w:bCs w:val="0"/>
          <w:color w:val="000000" w:themeColor="text1"/>
          <w:kern w:val="2"/>
          <w:sz w:val="32"/>
          <w:szCs w:val="22"/>
          <w:highlight w:val="none"/>
          <w:lang w:val="en-US" w:eastAsia="zh-CN"/>
          <w14:textFill>
            <w14:solidFill>
              <w14:schemeClr w14:val="tx1"/>
            </w14:solidFill>
          </w14:textFill>
        </w:rPr>
        <w:t>多</w:t>
      </w:r>
      <w:r>
        <w:rPr>
          <w:rFonts w:hint="eastAsia" w:ascii="Times New Roman" w:hAnsi="Times New Roman" w:eastAsia="仿宋_GB2312" w:cs="Times New Roman"/>
          <w:b w:val="0"/>
          <w:bCs w:val="0"/>
          <w:color w:val="000000" w:themeColor="text1"/>
          <w:kern w:val="2"/>
          <w:sz w:val="32"/>
          <w:szCs w:val="22"/>
          <w:highlight w:val="none"/>
          <w:lang w:val="en-US" w:eastAsia="zh-CN"/>
          <w14:textFill>
            <w14:solidFill>
              <w14:schemeClr w14:val="tx1"/>
            </w14:solidFill>
          </w14:textFill>
        </w:rPr>
        <w:t>元化市场流通</w:t>
      </w:r>
      <w:r>
        <w:rPr>
          <w:rFonts w:hint="default" w:ascii="Times New Roman" w:hAnsi="Times New Roman" w:eastAsia="仿宋_GB2312" w:cs="Times New Roman"/>
          <w:b w:val="0"/>
          <w:bCs w:val="0"/>
          <w:color w:val="000000" w:themeColor="text1"/>
          <w:kern w:val="2"/>
          <w:sz w:val="32"/>
          <w:szCs w:val="22"/>
          <w:highlight w:val="none"/>
          <w:lang w:val="en-US" w:eastAsia="zh-CN"/>
          <w14:textFill>
            <w14:solidFill>
              <w14:schemeClr w14:val="tx1"/>
            </w14:solidFill>
          </w14:textFill>
        </w:rPr>
        <w:t>体系</w:t>
      </w:r>
      <w:r>
        <w:rPr>
          <w:rFonts w:hint="default" w:ascii="Times New Roman" w:hAnsi="Times New Roman" w:eastAsia="仿宋_GB2312" w:cs="Times New Roman"/>
          <w:color w:val="000000" w:themeColor="text1"/>
          <w:kern w:val="2"/>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并实现</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信息联动。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截至202</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6月</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在全国</w:t>
      </w:r>
      <w:r>
        <w:rPr>
          <w:rFonts w:hint="eastAsia" w:ascii="Times New Roman" w:hAnsi="Times New Roman" w:eastAsia="仿宋_GB2312" w:cs="Times New Roman"/>
          <w:color w:val="000000" w:themeColor="text1"/>
          <w:sz w:val="32"/>
          <w:szCs w:val="22"/>
          <w:highlight w:val="none"/>
          <w:lang w:val="zh-CN" w:eastAsia="zh-CN"/>
          <w14:textFill>
            <w14:solidFill>
              <w14:schemeClr w14:val="tx1"/>
            </w14:solidFill>
          </w14:textFill>
        </w:rPr>
        <w:t>支持</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建设</w:t>
      </w:r>
      <w:r>
        <w:rPr>
          <w:rFonts w:hint="eastAsia"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17</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个粤港澳大湾区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产品配送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中心</w:t>
      </w:r>
      <w:r>
        <w:rPr>
          <w:rFonts w:hint="eastAsia"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（图1-3），在</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广州市启动粤港澳大</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湾区“菜篮子”交</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易中心建设，</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推动布局无接触自动售卖智能零售终端、生鲜店和超市销售点等多元销售模式，组织了多场</w:t>
      </w:r>
      <w:r>
        <w:rPr>
          <w:rFonts w:hint="eastAsia" w:ascii="Times New Roman" w:hAnsi="Times New Roman" w:eastAsia="仿宋_GB2312" w:cs="Times New Roman"/>
          <w:color w:val="000000" w:themeColor="text1"/>
          <w:sz w:val="32"/>
          <w:szCs w:val="22"/>
          <w:highlight w:val="none"/>
          <w:lang w:val="zh-CN" w:eastAsia="zh-CN"/>
          <w14:textFill>
            <w14:solidFill>
              <w14:schemeClr w14:val="tx1"/>
            </w14:solidFill>
          </w14:textFill>
        </w:rPr>
        <w:t>高规格影响强烈的</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产销对接活动</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w:t>
      </w:r>
      <w:r>
        <w:rPr>
          <w:rFonts w:hint="eastAsia" w:ascii="Times New Roman" w:hAnsi="Times New Roman" w:eastAsia="仿宋_GB2312" w:cs="Times New Roman"/>
          <w:color w:val="000000" w:themeColor="text1"/>
          <w:kern w:val="2"/>
          <w:sz w:val="32"/>
          <w:szCs w:val="32"/>
          <w:highlight w:val="none"/>
          <w:lang w:val="en-US" w:eastAsia="zh-CN"/>
          <w14:textFill>
            <w14:solidFill>
              <w14:schemeClr w14:val="tx1"/>
            </w14:solidFill>
          </w14:textFill>
        </w:rPr>
        <w:t>各类市场主体</w:t>
      </w:r>
      <w:r>
        <w:rPr>
          <w:rFonts w:hint="default" w:ascii="Times New Roman" w:hAnsi="Times New Roman" w:eastAsia="仿宋_GB2312" w:cs="Times New Roman"/>
          <w:color w:val="000000" w:themeColor="text1"/>
          <w:kern w:val="2"/>
          <w:sz w:val="32"/>
          <w:szCs w:val="32"/>
          <w:highlight w:val="none"/>
          <w14:textFill>
            <w14:solidFill>
              <w14:schemeClr w14:val="tx1"/>
            </w14:solidFill>
          </w14:textFill>
        </w:rPr>
        <w:t>统一使用粤港澳大湾区</w:t>
      </w:r>
      <w:r>
        <w:rPr>
          <w:rFonts w:hint="eastAsia" w:ascii="仿宋_GB2312" w:hAnsi="仿宋_GB2312" w:eastAsia="仿宋_GB2312" w:cs="仿宋_GB2312"/>
          <w:color w:val="000000" w:themeColor="text1"/>
          <w:kern w:val="0"/>
          <w:sz w:val="32"/>
          <w:szCs w:val="32"/>
          <w:highlight w:val="none"/>
          <w:lang w:val="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农产品质量安全溯源管理平台</w:t>
      </w:r>
      <w:r>
        <w:rPr>
          <w:rFonts w:hint="default" w:ascii="Times New Roman" w:hAnsi="Times New Roman" w:eastAsia="仿宋_GB2312" w:cs="Times New Roman"/>
          <w:color w:val="000000" w:themeColor="text1"/>
          <w:kern w:val="2"/>
          <w:sz w:val="32"/>
          <w:szCs w:val="32"/>
          <w:highlight w:val="none"/>
          <w14:textFill>
            <w14:solidFill>
              <w14:schemeClr w14:val="tx1"/>
            </w14:solidFill>
          </w14:textFill>
        </w:rPr>
        <w:t>进行产品流通、检测、管理</w:t>
      </w:r>
      <w:r>
        <w:rPr>
          <w:rFonts w:hint="eastAsia" w:ascii="Times New Roman" w:hAnsi="Times New Roman" w:eastAsia="仿宋_GB2312" w:cs="Times New Roman"/>
          <w:color w:val="000000" w:themeColor="text1"/>
          <w:sz w:val="32"/>
          <w:szCs w:val="22"/>
          <w:highlight w:val="none"/>
          <w:lang w:val="zh-CN"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平台日均流通量</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达</w:t>
      </w:r>
      <w:r>
        <w:rPr>
          <w:rFonts w:hint="default" w:ascii="Times New Roman" w:hAnsi="Times New Roman" w:eastAsia="仿宋_GB2312" w:cs="Times New Roman"/>
          <w:b w:val="0"/>
          <w:bCs w:val="0"/>
          <w:color w:val="000000" w:themeColor="text1"/>
          <w:sz w:val="32"/>
          <w:szCs w:val="22"/>
          <w:highlight w:val="none"/>
          <w:lang w:val="zh-CN" w:eastAsia="zh-CN"/>
          <w14:textFill>
            <w14:solidFill>
              <w14:schemeClr w14:val="tx1"/>
            </w14:solidFill>
          </w14:textFill>
        </w:rPr>
        <w:t>1</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0</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00</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左右</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，已成为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稳</w:t>
      </w:r>
      <w:r>
        <w:rPr>
          <w:rFonts w:hint="eastAsia" w:ascii="仿宋_GB2312" w:hAnsi="仿宋_GB2312" w:eastAsia="仿宋_GB2312" w:cs="仿宋_GB2312"/>
          <w:color w:val="000000" w:themeColor="text1"/>
          <w:sz w:val="32"/>
          <w:szCs w:val="32"/>
          <w:highlight w:val="none"/>
          <w:lang w:val="en-US" w:eastAsia="zh-CN" w:bidi="ar"/>
          <w14:textFill>
            <w14:solidFill>
              <w14:schemeClr w14:val="tx1"/>
            </w14:solidFill>
          </w14:textFill>
        </w:rPr>
        <w:t>产</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保供的</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重要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载体</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w:t>
      </w:r>
    </w:p>
    <w:p>
      <w:pPr>
        <w:pStyle w:val="29"/>
        <w:numPr>
          <w:ilvl w:val="0"/>
          <w:numId w:val="0"/>
        </w:numPr>
        <w:spacing w:line="360" w:lineRule="auto"/>
        <w:ind w:firstLine="482"/>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sectPr>
          <w:pgSz w:w="11906" w:h="16838"/>
          <w:pgMar w:top="2098" w:right="1474" w:bottom="1984"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9"/>
        <w:spacing w:line="360" w:lineRule="auto"/>
        <w:ind w:left="0" w:leftChars="0" w:firstLine="0" w:firstLineChars="0"/>
        <w:jc w:val="center"/>
        <w:rPr>
          <w:rFonts w:hint="default" w:ascii="Times New Roman" w:hAnsi="Times New Roman" w:eastAsia="仿宋_GB2312" w:cs="Times New Roman"/>
          <w:b/>
          <w:bCs/>
          <w:color w:val="000000" w:themeColor="text1"/>
          <w:sz w:val="28"/>
          <w:szCs w:val="21"/>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8"/>
          <w:szCs w:val="21"/>
          <w:highlight w:val="none"/>
          <w:lang w:val="en-US" w:eastAsia="zh-CN"/>
          <w14:textFill>
            <w14:solidFill>
              <w14:schemeClr w14:val="tx1"/>
            </w14:solidFill>
          </w14:textFill>
        </w:rPr>
        <w:drawing>
          <wp:inline distT="0" distB="0" distL="114300" distR="114300">
            <wp:extent cx="7334885" cy="4890135"/>
            <wp:effectExtent l="0" t="0" r="10795" b="1905"/>
            <wp:docPr id="6" name="图片 6" descr="图1-4配送中心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1-4配送中心现状分布图"/>
                    <pic:cNvPicPr>
                      <a:picLocks noChangeAspect="1"/>
                    </pic:cNvPicPr>
                  </pic:nvPicPr>
                  <pic:blipFill>
                    <a:blip r:embed="rId7"/>
                    <a:stretch>
                      <a:fillRect/>
                    </a:stretch>
                  </pic:blipFill>
                  <pic:spPr>
                    <a:xfrm>
                      <a:off x="0" y="0"/>
                      <a:ext cx="7334885" cy="4890135"/>
                    </a:xfrm>
                    <a:prstGeom prst="rect">
                      <a:avLst/>
                    </a:prstGeom>
                  </pic:spPr>
                </pic:pic>
              </a:graphicData>
            </a:graphic>
          </wp:inline>
        </w:drawing>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图1-3  粤港澳大湾区“菜篮子”产品配送（分）中心分布情况（截至2022年6月）</w:t>
      </w:r>
    </w:p>
    <w:p>
      <w:pPr>
        <w:pStyle w:val="29"/>
        <w:spacing w:line="360" w:lineRule="auto"/>
        <w:ind w:firstLine="482"/>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9"/>
        <w:pBdr>
          <w:top w:val="none" w:color="auto" w:sz="0" w:space="0"/>
          <w:left w:val="none" w:color="auto" w:sz="0" w:space="0"/>
          <w:bottom w:val="none" w:color="auto" w:sz="0" w:space="0"/>
          <w:right w:val="none" w:color="auto" w:sz="0" w:space="0"/>
        </w:pBdr>
        <w:shd w:val="clear"/>
        <w:spacing w:beforeAutospacing="0" w:afterAutospacing="0" w:line="360" w:lineRule="auto"/>
        <w:ind w:firstLine="482"/>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val="0"/>
          <w:bCs w:val="0"/>
          <w:color w:val="000000" w:themeColor="text1"/>
          <w:sz w:val="32"/>
          <w:szCs w:val="32"/>
          <w:highlight w:val="none"/>
          <w:lang w:val="en-US" w:eastAsia="zh-CN" w:bidi="ar"/>
          <w14:textFill>
            <w14:solidFill>
              <w14:schemeClr w14:val="tx1"/>
            </w14:solidFill>
          </w14:textFill>
        </w:rPr>
        <w:t>（六）创新形成了</w:t>
      </w:r>
      <w:r>
        <w:rPr>
          <w:rFonts w:hint="eastAsia" w:ascii="楷体_GB2312" w:hAnsi="楷体_GB2312" w:eastAsia="楷体_GB2312" w:cs="楷体_GB2312"/>
          <w:b w:val="0"/>
          <w:bCs w:val="0"/>
          <w:color w:val="000000" w:themeColor="text1"/>
          <w:sz w:val="32"/>
          <w:szCs w:val="32"/>
          <w:highlight w:val="none"/>
          <w:lang w:val="zh-CN" w:eastAsia="zh-CN" w:bidi="ar"/>
          <w14:textFill>
            <w14:solidFill>
              <w14:schemeClr w14:val="tx1"/>
            </w14:solidFill>
          </w14:textFill>
        </w:rPr>
        <w:t>“菜篮子”</w:t>
      </w:r>
      <w:r>
        <w:rPr>
          <w:rFonts w:hint="eastAsia" w:ascii="楷体_GB2312" w:hAnsi="楷体_GB2312" w:eastAsia="楷体_GB2312" w:cs="楷体_GB2312"/>
          <w:b w:val="0"/>
          <w:bCs w:val="0"/>
          <w:color w:val="000000" w:themeColor="text1"/>
          <w:sz w:val="32"/>
          <w:szCs w:val="32"/>
          <w:highlight w:val="none"/>
          <w:lang w:val="en-US" w:eastAsia="zh-CN" w:bidi="ar"/>
          <w14:textFill>
            <w14:solidFill>
              <w14:schemeClr w14:val="tx1"/>
            </w14:solidFill>
          </w14:textFill>
        </w:rPr>
        <w:t>产品</w:t>
      </w:r>
      <w:r>
        <w:rPr>
          <w:rFonts w:hint="eastAsia" w:ascii="楷体_GB2312" w:hAnsi="楷体_GB2312" w:eastAsia="楷体_GB2312" w:cs="楷体_GB2312"/>
          <w:b w:val="0"/>
          <w:bCs w:val="0"/>
          <w:color w:val="000000" w:themeColor="text1"/>
          <w:sz w:val="32"/>
          <w:szCs w:val="32"/>
          <w:highlight w:val="none"/>
          <w:lang w:val="zh-CN" w:eastAsia="zh-CN" w:bidi="ar"/>
          <w14:textFill>
            <w14:solidFill>
              <w14:schemeClr w14:val="tx1"/>
            </w14:solidFill>
          </w14:textFill>
        </w:rPr>
        <w:t>通关机制。</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2020年</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3</w:t>
      </w:r>
      <w:r>
        <w:rPr>
          <w:rFonts w:hint="default" w:ascii="Times New Roman" w:hAnsi="Times New Roman" w:eastAsia="仿宋_GB2312" w:cs="Times New Roman"/>
          <w:i w:val="0"/>
          <w:iCs w:val="0"/>
          <w:caps w:val="0"/>
          <w:color w:val="000000" w:themeColor="text1"/>
          <w:spacing w:val="0"/>
          <w:sz w:val="32"/>
          <w:szCs w:val="32"/>
          <w:highlight w:val="none"/>
          <w:shd w:val="clear"/>
          <w14:textFill>
            <w14:solidFill>
              <w14:schemeClr w14:val="tx1"/>
            </w14:solidFill>
          </w14:textFill>
        </w:rPr>
        <w:t>月，粤港澳大湾区</w:t>
      </w:r>
      <w:r>
        <w:rPr>
          <w:rFonts w:hint="eastAsia" w:ascii="Times New Roman" w:hAnsi="Times New Roman"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14:textFill>
            <w14:solidFill>
              <w14:schemeClr w14:val="tx1"/>
            </w14:solidFill>
          </w14:textFill>
        </w:rPr>
        <w:t>菜篮子</w:t>
      </w:r>
      <w:r>
        <w:rPr>
          <w:rFonts w:hint="eastAsia" w:ascii="Times New Roman" w:hAnsi="Times New Roman"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14:textFill>
            <w14:solidFill>
              <w14:schemeClr w14:val="tx1"/>
            </w14:solidFill>
          </w14:textFill>
        </w:rPr>
        <w:t>通关（增城）便利区</w:t>
      </w:r>
      <w:r>
        <w:rPr>
          <w:rFonts w:hint="default" w:ascii="Times New Roman" w:hAnsi="Times New Roman" w:eastAsia="仿宋_GB2312" w:cs="Times New Roman"/>
          <w:i w:val="0"/>
          <w:iCs w:val="0"/>
          <w:color w:val="000000" w:themeColor="text1"/>
          <w:kern w:val="0"/>
          <w:sz w:val="32"/>
          <w:szCs w:val="32"/>
          <w:highlight w:val="none"/>
          <w:u w:val="none"/>
          <w:lang w:val="en-US" w:eastAsia="zh-CN" w:bidi="ar"/>
          <w14:textFill>
            <w14:solidFill>
              <w14:schemeClr w14:val="tx1"/>
            </w14:solidFill>
          </w14:textFill>
        </w:rPr>
        <w:t>获批建设</w:t>
      </w:r>
      <w:r>
        <w:rPr>
          <w:rFonts w:hint="default" w:ascii="Times New Roman" w:hAnsi="Times New Roman"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通过</w:t>
      </w:r>
      <w:r>
        <w:rPr>
          <w:rFonts w:hint="eastAsia" w:ascii="Times New Roman" w:hAnsi="Times New Roman"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14:textFill>
            <w14:solidFill>
              <w14:schemeClr w14:val="tx1"/>
            </w14:solidFill>
          </w14:textFill>
        </w:rPr>
        <w:t>政府搭台+企业主导+市场调节</w:t>
      </w:r>
      <w:r>
        <w:rPr>
          <w:rFonts w:hint="eastAsia" w:ascii="Times New Roman" w:hAnsi="Times New Roman"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14:textFill>
            <w14:solidFill>
              <w14:schemeClr w14:val="tx1"/>
            </w14:solidFill>
          </w14:textFill>
        </w:rPr>
        <w:t>的模式，</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将海关关口</w:t>
      </w:r>
      <w:r>
        <w:rPr>
          <w:rFonts w:hint="eastAsia" w:ascii="仿宋_GB2312" w:hAnsi="仿宋_GB2312" w:eastAsia="仿宋_GB2312" w:cs="仿宋_GB2312"/>
          <w:color w:val="000000" w:themeColor="text1"/>
          <w:sz w:val="32"/>
          <w:szCs w:val="32"/>
          <w:highlight w:val="none"/>
          <w14:textFill>
            <w14:solidFill>
              <w14:schemeClr w14:val="tx1"/>
            </w14:solidFill>
          </w14:textFill>
        </w:rPr>
        <w:t>前移到粤港澳大湾区</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菜篮子”生产</w:t>
      </w:r>
      <w:r>
        <w:rPr>
          <w:rFonts w:ascii="仿宋_GB2312" w:hAnsi="仿宋_GB2312" w:eastAsia="仿宋_GB2312" w:cs="仿宋_GB2312"/>
          <w:color w:val="000000" w:themeColor="text1"/>
          <w:sz w:val="32"/>
          <w:szCs w:val="32"/>
          <w:highlight w:val="none"/>
          <w14:textFill>
            <w14:solidFill>
              <w14:schemeClr w14:val="tx1"/>
            </w14:solidFill>
          </w14:textFill>
        </w:rPr>
        <w:t>基地</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利用</w:t>
      </w:r>
      <w:r>
        <w:rPr>
          <w:rFonts w:hint="eastAsia" w:ascii="仿宋_GB2312" w:hAnsi="仿宋_GB2312" w:eastAsia="仿宋_GB2312" w:cs="仿宋_GB2312"/>
          <w:i w:val="0"/>
          <w:iCs w:val="0"/>
          <w:caps w:val="0"/>
          <w:color w:val="000000" w:themeColor="text1"/>
          <w:spacing w:val="0"/>
          <w:sz w:val="32"/>
          <w:szCs w:val="32"/>
          <w:highlight w:val="none"/>
          <w:shd w:val="clear"/>
          <w14:textFill>
            <w14:solidFill>
              <w14:schemeClr w14:val="tx1"/>
            </w14:solidFill>
          </w14:textFill>
        </w:rPr>
        <w:t>信息化手段实现粤港澳大湾区</w:t>
      </w:r>
      <w:r>
        <w:rPr>
          <w:rFonts w:hint="eastAsia" w:ascii="仿宋_GB2312" w:hAnsi="仿宋_GB2312" w:eastAsia="仿宋_GB2312" w:cs="仿宋_GB2312"/>
          <w:i w:val="0"/>
          <w:iCs w:val="0"/>
          <w:caps w:val="0"/>
          <w:color w:val="000000" w:themeColor="text1"/>
          <w:spacing w:val="0"/>
          <w:sz w:val="32"/>
          <w:szCs w:val="32"/>
          <w:highlight w:val="none"/>
          <w:shd w:val="clear"/>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shd w:val="cle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农产品质量安全溯源管理平台</w:t>
      </w:r>
      <w:r>
        <w:rPr>
          <w:rFonts w:hint="eastAsia" w:ascii="仿宋_GB2312" w:hAnsi="仿宋_GB2312" w:eastAsia="仿宋_GB2312" w:cs="仿宋_GB2312"/>
          <w:i w:val="0"/>
          <w:iCs w:val="0"/>
          <w:caps w:val="0"/>
          <w:color w:val="000000" w:themeColor="text1"/>
          <w:spacing w:val="0"/>
          <w:sz w:val="32"/>
          <w:szCs w:val="32"/>
          <w:highlight w:val="none"/>
          <w:shd w:val="clear"/>
          <w14:textFill>
            <w14:solidFill>
              <w14:schemeClr w14:val="tx1"/>
            </w14:solidFill>
          </w14:textFill>
        </w:rPr>
        <w:t>和海关通关服务平台的互联互通，</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集生产、</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集散、</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流通、检验、检疫、通关、信息化等资源要素</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于一体的</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便利化</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联动协同</w:t>
      </w:r>
      <w:r>
        <w:rPr>
          <w:rFonts w:hint="eastAsia" w:ascii="仿宋_GB2312" w:hAnsi="仿宋_GB2312" w:eastAsia="仿宋_GB2312" w:cs="仿宋_GB2312"/>
          <w:color w:val="000000" w:themeColor="text1"/>
          <w:sz w:val="32"/>
          <w:szCs w:val="32"/>
          <w:highlight w:val="none"/>
          <w14:textFill>
            <w14:solidFill>
              <w14:schemeClr w14:val="tx1"/>
            </w14:solidFill>
          </w14:textFill>
        </w:rPr>
        <w:t>服务平台</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有效促进大湾区农产品跨境贸易往来的畅通与便利化，为粤港澳大湾区深化合作机制和促进贸易往来提供良好示范。</w:t>
      </w:r>
    </w:p>
    <w:p>
      <w:pPr>
        <w:pStyle w:val="29"/>
        <w:widowControl/>
        <w:pBdr>
          <w:top w:val="none" w:color="auto" w:sz="0" w:space="0"/>
          <w:left w:val="none" w:color="auto" w:sz="0" w:space="0"/>
          <w:bottom w:val="none" w:color="auto" w:sz="0" w:space="0"/>
          <w:right w:val="none" w:color="auto" w:sz="0" w:space="0"/>
        </w:pBdr>
        <w:shd w:val="clear" w:color="auto" w:fill="auto"/>
        <w:spacing w:line="360" w:lineRule="auto"/>
        <w:ind w:firstLine="482"/>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（七）构建了完善的政策体系。</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以《粤港澳大湾区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“菜篮子”建</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设实施方案》为主方案，针对质量安全监管体系</w:t>
      </w:r>
      <w:r>
        <w:rPr>
          <w:rFonts w:hint="eastAsia" w:ascii="Times New Roman" w:hAnsi="Times New Roman" w:eastAsia="仿宋_GB2312" w:cs="Times New Roman"/>
          <w:color w:val="000000" w:themeColor="text1"/>
          <w:sz w:val="32"/>
          <w:szCs w:val="22"/>
          <w:highlight w:val="none"/>
          <w:lang w:val="zh-CN"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生产体系、流通体系制定</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了</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具体配套方案，形成</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1＋N</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方案</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（表1-2）</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w:t>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表1-2 粤港澳大湾区“菜篮子”工程“1＋N”方案体系</w:t>
      </w:r>
    </w:p>
    <w:tbl>
      <w:tblPr>
        <w:tblStyle w:val="28"/>
        <w:tblW w:w="92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6193"/>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8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体系</w:t>
            </w:r>
          </w:p>
        </w:tc>
        <w:tc>
          <w:tcPr>
            <w:tcW w:w="61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配套方案</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发布时间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18" w:type="dxa"/>
            <w:vMerge w:val="restart"/>
            <w:tcBorders>
              <w:top w:val="single" w:color="000000" w:themeColor="text1"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质量安全体系</w:t>
            </w:r>
          </w:p>
        </w:tc>
        <w:tc>
          <w:tcPr>
            <w:tcW w:w="6193" w:type="dxa"/>
            <w:tcBorders>
              <w:top w:val="single" w:color="000000" w:themeColor="text1"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《粤港澳大湾区</w:t>
            </w:r>
            <w:r>
              <w:rPr>
                <w:rFonts w:hint="eastAsia" w:ascii="仿宋_GB2312" w:hAnsi="仿宋_GB2312" w:eastAsia="仿宋_GB2312" w:cs="仿宋_GB2312"/>
                <w:color w:val="000000" w:themeColor="text1"/>
                <w:sz w:val="24"/>
                <w:szCs w:val="24"/>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产品质量安全监控方案</w:t>
            </w:r>
            <w:r>
              <w:rPr>
                <w:rFonts w:hint="eastAsia" w:ascii="Times New Roman" w:hAnsi="Times New Roman" w:eastAsia="仿宋_GB2312" w:cs="Times New Roman"/>
                <w:color w:val="000000" w:themeColor="text1"/>
                <w:sz w:val="24"/>
                <w:szCs w:val="24"/>
                <w:highlight w:val="none"/>
                <w:lang w:val="zh-CN" w:eastAsia="zh-CN"/>
                <w14:textFill>
                  <w14:solidFill>
                    <w14:schemeClr w14:val="tx1"/>
                  </w14:solidFill>
                </w14:textFill>
              </w:rPr>
              <w:t>（</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修订</w:t>
            </w:r>
            <w:r>
              <w:rPr>
                <w:rFonts w:hint="eastAsia" w:ascii="Times New Roman" w:hAnsi="Times New Roman" w:eastAsia="仿宋_GB2312"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w:t>
            </w:r>
          </w:p>
        </w:tc>
        <w:tc>
          <w:tcPr>
            <w:tcW w:w="2250" w:type="dxa"/>
            <w:tcBorders>
              <w:top w:val="single" w:color="000000" w:themeColor="text1"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2020年12月3日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818" w:type="dxa"/>
            <w:vMerge w:val="continue"/>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p>
        </w:tc>
        <w:tc>
          <w:tcPr>
            <w:tcW w:w="6193" w:type="dxa"/>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《粤港澳大湾区</w:t>
            </w:r>
            <w:r>
              <w:rPr>
                <w:rFonts w:hint="eastAsia" w:ascii="仿宋_GB2312" w:hAnsi="仿宋_GB2312" w:eastAsia="仿宋_GB2312" w:cs="仿宋_GB2312"/>
                <w:color w:val="000000" w:themeColor="text1"/>
                <w:sz w:val="24"/>
                <w:szCs w:val="24"/>
                <w:highlight w:val="none"/>
                <w:lang w:val="zh-CN" w:eastAsia="zh-CN" w:bidi="ar"/>
                <w14:textFill>
                  <w14:solidFill>
                    <w14:schemeClr w14:val="tx1"/>
                  </w14:solidFill>
                </w14:textFill>
              </w:rPr>
              <w:t>“菜篮子”产</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品质量安全承检机构</w:t>
            </w:r>
          </w:p>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管理规范》</w:t>
            </w:r>
          </w:p>
        </w:tc>
        <w:tc>
          <w:tcPr>
            <w:tcW w:w="2250" w:type="dxa"/>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2021年2月4日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818" w:type="dxa"/>
            <w:vMerge w:val="restart"/>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生产体系</w:t>
            </w:r>
          </w:p>
        </w:tc>
        <w:tc>
          <w:tcPr>
            <w:tcW w:w="6193" w:type="dxa"/>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《广州市支持粤港澳大湾区</w:t>
            </w:r>
            <w:r>
              <w:rPr>
                <w:rFonts w:hint="eastAsia" w:ascii="仿宋_GB2312" w:hAnsi="仿宋_GB2312" w:eastAsia="仿宋_GB2312" w:cs="仿宋_GB2312"/>
                <w:color w:val="000000" w:themeColor="text1"/>
                <w:sz w:val="24"/>
                <w:szCs w:val="24"/>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建设的</w:t>
            </w:r>
          </w:p>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若干意见》</w:t>
            </w:r>
          </w:p>
        </w:tc>
        <w:tc>
          <w:tcPr>
            <w:tcW w:w="2250" w:type="dxa"/>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2019年5月7日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818" w:type="dxa"/>
            <w:vMerge w:val="continue"/>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p>
        </w:tc>
        <w:tc>
          <w:tcPr>
            <w:tcW w:w="6193" w:type="dxa"/>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24"/>
                <w:szCs w:val="24"/>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生产经营主体信誉评价</w:t>
            </w:r>
          </w:p>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工作意见（试行）》</w:t>
            </w:r>
          </w:p>
        </w:tc>
        <w:tc>
          <w:tcPr>
            <w:tcW w:w="2250" w:type="dxa"/>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2020年3月16日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818" w:type="dxa"/>
            <w:vMerge w:val="continue"/>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p>
        </w:tc>
        <w:tc>
          <w:tcPr>
            <w:tcW w:w="6193" w:type="dxa"/>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24"/>
                <w:szCs w:val="24"/>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生产基地落户奖励实施方案</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w:t>
            </w:r>
          </w:p>
        </w:tc>
        <w:tc>
          <w:tcPr>
            <w:tcW w:w="2250" w:type="dxa"/>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2020年3月20日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8" w:type="dxa"/>
            <w:vMerge w:val="continue"/>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p>
        </w:tc>
        <w:tc>
          <w:tcPr>
            <w:tcW w:w="6193" w:type="dxa"/>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24"/>
                <w:szCs w:val="24"/>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生产基地</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认定规程</w:t>
            </w: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w:t>
            </w:r>
          </w:p>
        </w:tc>
        <w:tc>
          <w:tcPr>
            <w:tcW w:w="2250" w:type="dxa"/>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jc w:val="center"/>
        </w:trPr>
        <w:tc>
          <w:tcPr>
            <w:tcW w:w="818" w:type="dxa"/>
            <w:vMerge w:val="restart"/>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t>流通体系</w:t>
            </w:r>
          </w:p>
        </w:tc>
        <w:tc>
          <w:tcPr>
            <w:tcW w:w="6193" w:type="dxa"/>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vertAlign w:val="baseline"/>
                <w:lang w:val="zh-CN"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24"/>
                <w:szCs w:val="24"/>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流通体系建设管理规则》</w:t>
            </w:r>
          </w:p>
        </w:tc>
        <w:tc>
          <w:tcPr>
            <w:tcW w:w="2250" w:type="dxa"/>
            <w:tcBorders>
              <w:top w:val="single" w:color="72D9D9" w:sz="4" w:space="0"/>
              <w:left w:val="single" w:color="72D9D9" w:sz="4" w:space="0"/>
              <w:bottom w:val="single" w:color="72D9D9" w:sz="4" w:space="0"/>
              <w:right w:val="single" w:color="72D9D9" w:sz="4" w:space="0"/>
            </w:tcBorders>
            <w:shd w:val="clear" w:color="auto" w:fill="ECFAFA"/>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2020年10月23日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818" w:type="dxa"/>
            <w:vMerge w:val="continue"/>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jc w:val="center"/>
              <w:rPr>
                <w:rFonts w:hint="default" w:ascii="Times New Roman" w:hAnsi="Times New Roman" w:eastAsia="仿宋_GB2312" w:cs="Times New Roman"/>
                <w:color w:val="000000" w:themeColor="text1"/>
                <w:sz w:val="24"/>
                <w:szCs w:val="24"/>
                <w:highlight w:val="none"/>
                <w:lang w:val="zh-CN" w:eastAsia="zh-CN"/>
                <w14:textFill>
                  <w14:solidFill>
                    <w14:schemeClr w14:val="tx1"/>
                  </w14:solidFill>
                </w14:textFill>
              </w:rPr>
            </w:pPr>
          </w:p>
        </w:tc>
        <w:tc>
          <w:tcPr>
            <w:tcW w:w="6193" w:type="dxa"/>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24"/>
                <w:szCs w:val="24"/>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标识管理规则》</w:t>
            </w:r>
          </w:p>
        </w:tc>
        <w:tc>
          <w:tcPr>
            <w:tcW w:w="2250" w:type="dxa"/>
            <w:tcBorders>
              <w:top w:val="single" w:color="72D9D9" w:sz="4" w:space="0"/>
              <w:left w:val="single" w:color="72D9D9" w:sz="4" w:space="0"/>
              <w:bottom w:val="single" w:color="72D9D9" w:sz="4" w:space="0"/>
              <w:right w:val="single" w:color="72D9D9" w:sz="4" w:space="0"/>
            </w:tcBorders>
            <w:shd w:val="clear" w:color="auto" w:fill="FEFEFE"/>
            <w:vAlign w:val="center"/>
          </w:tcPr>
          <w:p>
            <w:pPr>
              <w:pStyle w:val="29"/>
              <w:widowControl/>
              <w:spacing w:line="240" w:lineRule="auto"/>
              <w:ind w:firstLine="0" w:firstLineChars="0"/>
              <w:jc w:val="cente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2019年11月16日</w:t>
            </w:r>
          </w:p>
        </w:tc>
      </w:tr>
    </w:tbl>
    <w:p>
      <w:pPr>
        <w:pStyle w:val="5"/>
        <w:keepNext/>
        <w:keepLines/>
        <w:spacing w:before="0" w:after="0" w:line="360" w:lineRule="auto"/>
        <w:ind w:firstLine="640" w:firstLineChars="200"/>
        <w:jc w:val="both"/>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36" w:name="_Toc9144"/>
      <w:bookmarkStart w:id="37" w:name="_Toc23987"/>
      <w:bookmarkStart w:id="38" w:name="_Toc15637"/>
      <w:bookmarkStart w:id="39" w:name="_Toc24049"/>
      <w:bookmarkStart w:id="40" w:name="_Toc12522"/>
      <w:bookmarkStart w:id="41" w:name="_Toc20278"/>
      <w:bookmarkStart w:id="42" w:name="_Toc2277"/>
      <w:bookmarkStart w:id="43" w:name="_Toc20717"/>
      <w:bookmarkStart w:id="44" w:name="_Toc29566"/>
      <w:bookmarkStart w:id="45" w:name="_Toc15515"/>
      <w:bookmarkStart w:id="46" w:name="_Toc32266"/>
      <w:bookmarkStart w:id="47" w:name="_Toc5410"/>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二、面临挑战</w:t>
      </w:r>
      <w:bookmarkEnd w:id="36"/>
      <w:bookmarkEnd w:id="37"/>
      <w:bookmarkEnd w:id="38"/>
      <w:bookmarkEnd w:id="39"/>
      <w:bookmarkEnd w:id="40"/>
      <w:bookmarkEnd w:id="41"/>
      <w:bookmarkEnd w:id="42"/>
      <w:bookmarkEnd w:id="43"/>
      <w:bookmarkEnd w:id="44"/>
      <w:bookmarkEnd w:id="45"/>
      <w:bookmarkEnd w:id="46"/>
      <w:bookmarkEnd w:id="47"/>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当前，国内外环境发生深刻复杂变化，国际产业链供应链不稳定性</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不确定性明显增加，并向</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“菜篮子”稳</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保供领域传导。同时，由于</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工程</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是新兴事物，没有经验可借鉴，工程</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还面临不少新问题</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新挑战</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14:textFill>
            <w14:solidFill>
              <w14:schemeClr w14:val="tx1"/>
            </w14:solidFill>
          </w14:textFill>
        </w:rPr>
        <w:t>与</w:t>
      </w:r>
      <w:r>
        <w:rPr>
          <w:rFonts w:hint="eastAsia" w:ascii="Times New Roman" w:hAnsi="Times New Roman" w:eastAsia="仿宋_GB2312" w:cs="Times New Roman"/>
          <w:color w:val="000000" w:themeColor="text1"/>
          <w:sz w:val="32"/>
          <w:szCs w:val="2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14:textFill>
            <w14:solidFill>
              <w14:schemeClr w14:val="tx1"/>
            </w14:solidFill>
          </w14:textFill>
        </w:rPr>
        <w:t>国际一流湾区”战略目标的</w:t>
      </w:r>
      <w:r>
        <w:rPr>
          <w:rFonts w:hint="eastAsia" w:ascii="Times New Roman" w:hAnsi="Times New Roman" w:eastAsia="仿宋_GB2312" w:cs="Times New Roman"/>
          <w:color w:val="000000" w:themeColor="text1"/>
          <w:sz w:val="32"/>
          <w:szCs w:val="22"/>
          <w:highlight w:val="none"/>
          <w:lang w:eastAsia="zh-CN"/>
          <w14:textFill>
            <w14:solidFill>
              <w14:schemeClr w14:val="tx1"/>
            </w14:solidFill>
          </w14:textFill>
        </w:rPr>
        <w:t>要求</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还有一定差距</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（一）生产基地规模质量效益有待进一步提升。</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截至2022年</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6月</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，全国范围内认定了</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1600多个</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生产基地，</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农产品质量安全溯源管理</w:t>
      </w:r>
      <w:r>
        <w:rPr>
          <w:rFonts w:hint="default" w:ascii="Times New Roman" w:hAnsi="Times New Roman" w:eastAsia="仿宋_GB2312" w:cs="Times New Roman"/>
          <w:b w:val="0"/>
          <w:bCs w:val="0"/>
          <w:color w:val="000000" w:themeColor="text1"/>
          <w:sz w:val="32"/>
          <w:szCs w:val="22"/>
          <w:highlight w:val="none"/>
          <w:lang w:val="zh-CN" w:eastAsia="zh-CN"/>
          <w14:textFill>
            <w14:solidFill>
              <w14:schemeClr w14:val="tx1"/>
            </w14:solidFill>
          </w14:textFill>
        </w:rPr>
        <w:t>平台</w:t>
      </w:r>
      <w:r>
        <w:rPr>
          <w:rFonts w:hint="eastAsia" w:ascii="Times New Roman" w:hAnsi="Times New Roman" w:eastAsia="仿宋_GB2312" w:cs="Times New Roman"/>
          <w:b w:val="0"/>
          <w:bCs w:val="0"/>
          <w:color w:val="000000" w:themeColor="text1"/>
          <w:sz w:val="32"/>
          <w:szCs w:val="22"/>
          <w:highlight w:val="none"/>
          <w:lang w:val="zh-CN" w:eastAsia="zh-CN"/>
          <w14:textFill>
            <w14:solidFill>
              <w14:schemeClr w14:val="tx1"/>
            </w14:solidFill>
          </w14:textFill>
        </w:rPr>
        <w:t>产品</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累计</w:t>
      </w:r>
      <w:r>
        <w:rPr>
          <w:rFonts w:hint="default" w:ascii="Times New Roman" w:hAnsi="Times New Roman" w:eastAsia="仿宋_GB2312" w:cs="Times New Roman"/>
          <w:b w:val="0"/>
          <w:bCs w:val="0"/>
          <w:color w:val="000000" w:themeColor="text1"/>
          <w:sz w:val="32"/>
          <w:szCs w:val="22"/>
          <w:highlight w:val="none"/>
          <w:lang w:val="zh-CN" w:eastAsia="zh-CN"/>
          <w14:textFill>
            <w14:solidFill>
              <w14:schemeClr w14:val="tx1"/>
            </w14:solidFill>
          </w14:textFill>
        </w:rPr>
        <w:t>流通量</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约</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146</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万吨。2022年</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粤港澳大湾区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常住人口为8629.04万，大湾区庞大的人口规模和市场，对优质</w:t>
      </w:r>
      <w:r>
        <w:rPr>
          <w:rFonts w:hint="eastAsia" w:ascii="仿宋_GB2312" w:hAnsi="仿宋" w:eastAsia="仿宋_GB2312" w:cs="仿宋_GB2312"/>
          <w:color w:val="000000" w:themeColor="text1"/>
          <w:sz w:val="32"/>
          <w:szCs w:val="22"/>
          <w:highlight w:val="none"/>
          <w:lang w:val="en-US" w:eastAsia="zh-CN"/>
          <w14:textFill>
            <w14:solidFill>
              <w14:schemeClr w14:val="tx1"/>
            </w14:solidFill>
          </w14:textFill>
        </w:rPr>
        <w:t>农产品有巨大消费需求，同时也提出了更高的要求。</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生产基地数量上已具有一定规模，分布于全国120多个地市州，但生产基地规模效益、发展质量等仍有待提升</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p>
    <w:p>
      <w:pPr>
        <w:pStyle w:val="29"/>
        <w:spacing w:line="360" w:lineRule="auto"/>
        <w:ind w:firstLine="640"/>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（二）</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流通供应链还不健全。</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多数产品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中心</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由政府推动建设，市场化运作不够；</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有的运营主体认识不到位</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，基础设施滞后、配套功能不完善</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；有的</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在产销信息衔接上不够精准，</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未发挥出对</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生产基地</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的指导</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服务</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功能</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；有的</w:t>
      </w:r>
      <w:r>
        <w:rPr>
          <w:rFonts w:hint="eastAsia" w:ascii="Times New Roman" w:hAnsi="Times New Roman" w:eastAsia="仿宋_GB2312" w:cs="Times New Roman"/>
          <w:color w:val="000000" w:themeColor="text1"/>
          <w:sz w:val="32"/>
          <w:szCs w:val="22"/>
          <w:highlight w:val="none"/>
          <w14:textFill>
            <w14:solidFill>
              <w14:schemeClr w14:val="tx1"/>
            </w14:solidFill>
          </w14:textFill>
        </w:rPr>
        <w:t>对消费者需求挖掘不够，缺乏必要的市场研判能力</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。由于上述原因，</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致使配送</w:t>
      </w:r>
      <w:r>
        <w:rPr>
          <w:rFonts w:hint="eastAsia" w:ascii="Times New Roman" w:hAnsi="Times New Roman" w:eastAsia="仿宋_GB2312" w:cs="Times New Roman"/>
          <w:color w:val="auto"/>
          <w:sz w:val="32"/>
          <w:szCs w:val="22"/>
          <w:highlight w:val="none"/>
          <w:lang w:val="en-US" w:eastAsia="zh-CN"/>
        </w:rPr>
        <w:t>（分）</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中心尚存在产销衔接不顺畅、市场开拓力度不足、辐射带动作用不明显等问题</w:t>
      </w:r>
      <w:r>
        <w:rPr>
          <w:rFonts w:hint="eastAsia" w:ascii="Times New Roman" w:hAnsi="Times New Roman" w:eastAsia="仿宋_GB2312" w:cs="Times New Roman"/>
          <w:color w:val="000000" w:themeColor="text1"/>
          <w:sz w:val="32"/>
          <w:szCs w:val="22"/>
          <w:highlight w:val="none"/>
          <w14:textFill>
            <w14:solidFill>
              <w14:schemeClr w14:val="tx1"/>
            </w14:solidFill>
          </w14:textFill>
        </w:rPr>
        <w:t>。</w:t>
      </w:r>
    </w:p>
    <w:p>
      <w:pPr>
        <w:pStyle w:val="29"/>
        <w:numPr>
          <w:ilvl w:val="-1"/>
          <w:numId w:val="0"/>
        </w:numPr>
        <w:spacing w:line="360" w:lineRule="auto"/>
        <w:ind w:firstLine="640"/>
        <w:rPr>
          <w:rFonts w:hint="eastAsia"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（三）</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质量安全标准体系</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建设及推广有待加强</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质量安全标准体系建设是</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工程高质量发展的前提和保障。</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相对于丰富的“菜篮子”品类，目前“平台标准”在涵盖面、湾区互认程度上还有待进一步提高。标准的宣贯力度不够，生产主体对标准的重要性认识不足，标准化生产的积极性不高</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eastAsia="zh-CN"/>
          <w14:textFill>
            <w14:solidFill>
              <w14:schemeClr w14:val="tx1"/>
            </w14:solidFill>
          </w14:textFill>
        </w:rPr>
        <w:t>标准的推广、实施亟待加强。</w:t>
      </w:r>
    </w:p>
    <w:p>
      <w:pPr>
        <w:pStyle w:val="29"/>
        <w:numPr>
          <w:ilvl w:val="0"/>
          <w:numId w:val="0"/>
        </w:numPr>
        <w:spacing w:line="360" w:lineRule="auto"/>
        <w:ind w:firstLine="482"/>
        <w:rPr>
          <w:rFonts w:hint="eastAsia" w:eastAsia="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（四）</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品牌影响力还</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不足</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牌整体规划、运营机制</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尚在完善中</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，基于整个思想理论体系、政策体系、科研教育培训体系、质量追溯体系的战略构架缺乏，</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目前品牌市场认知度不高</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。相对地，由于品牌市场认知度不高，</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品牌</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对产品的溢价作用还不</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够明显</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，导致企业主体参与积极性不高</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，认定生产基地的产品</w:t>
      </w:r>
      <w:r>
        <w:rPr>
          <w:rFonts w:hint="eastAsia" w:eastAsia="仿宋_GB2312"/>
          <w:color w:val="000000" w:themeColor="text1"/>
          <w:sz w:val="32"/>
          <w:szCs w:val="32"/>
          <w:lang w:val="en-US" w:eastAsia="zh-CN"/>
          <w14:textFill>
            <w14:solidFill>
              <w14:schemeClr w14:val="tx1"/>
            </w14:solidFill>
          </w14:textFill>
        </w:rPr>
        <w:t>包装印贴粤港澳大湾区“菜篮子”产品标识和质量安全溯源二维码的占比不高。</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48" w:name="_Toc9002"/>
      <w:bookmarkStart w:id="49" w:name="_Toc15165"/>
      <w:bookmarkStart w:id="50" w:name="_Toc18956"/>
      <w:bookmarkStart w:id="51" w:name="_Toc12729"/>
      <w:bookmarkStart w:id="52" w:name="_Toc5796"/>
      <w:bookmarkStart w:id="53" w:name="_Toc2399"/>
      <w:bookmarkStart w:id="54" w:name="_Toc2335"/>
      <w:bookmarkStart w:id="55" w:name="_Toc14945"/>
      <w:bookmarkStart w:id="56" w:name="_Toc32012"/>
      <w:bookmarkStart w:id="57" w:name="_Toc22582"/>
      <w:bookmarkStart w:id="58" w:name="_Toc10838"/>
      <w:bookmarkStart w:id="59" w:name="_Toc6844"/>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三、发展机遇</w:t>
      </w:r>
      <w:bookmarkEnd w:id="48"/>
      <w:bookmarkEnd w:id="49"/>
      <w:bookmarkEnd w:id="50"/>
      <w:bookmarkEnd w:id="51"/>
      <w:bookmarkEnd w:id="52"/>
      <w:bookmarkEnd w:id="53"/>
      <w:bookmarkEnd w:id="54"/>
      <w:bookmarkEnd w:id="55"/>
      <w:bookmarkEnd w:id="56"/>
      <w:bookmarkEnd w:id="57"/>
      <w:bookmarkEnd w:id="58"/>
      <w:bookmarkEnd w:id="59"/>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2022—2026年</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，农业农村发展和全国统一大市场建设依然处于重要战略机遇期，粤港澳大湾区建设推高地区经济的活跃度，在危机中育先机，于变局中开新局，</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立足新发展阶段，</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推进粤港澳大湾区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工程建设依然具有诸多</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战略机遇</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（一）粤港澳大湾区国家战略对</w:t>
      </w:r>
      <w:r>
        <w:rPr>
          <w:rFonts w:hint="eastAsia" w:ascii="楷体_GB2312" w:hAnsi="楷体_GB2312" w:eastAsia="楷体_GB2312" w:cs="楷体_GB2312"/>
          <w:b w:val="0"/>
          <w:bCs w:val="0"/>
          <w:color w:val="000000" w:themeColor="text1"/>
          <w:sz w:val="32"/>
          <w:szCs w:val="32"/>
          <w:highlight w:val="none"/>
          <w:lang w:val="en-US" w:eastAsia="zh-CN"/>
          <w14:textFill>
            <w14:solidFill>
              <w14:schemeClr w14:val="tx1"/>
            </w14:solidFill>
          </w14:textFill>
        </w:rPr>
        <w:t>粤港澳大湾区</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“菜篮子”工程提出新要求。</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港澳大湾区发展规划纲要》提出，要构建宜居宜业宜游的优质生活圈，优先发展民生工程，提高大湾区民众生活便利水平，提升居民生活质量；加强粤港澳食品安全合作，提升区域食品安全保障水平，保障内地供港澳食品安全。</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2023年</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4月</w:t>
      </w:r>
      <w:r>
        <w:rPr>
          <w:rFonts w:hint="eastAsia" w:ascii="Times New Roman" w:hAnsi="Times New Roman" w:eastAsia="仿宋_GB2312"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习近平总书记</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视察广东</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时</w:t>
      </w:r>
      <w:r>
        <w:rPr>
          <w:rFonts w:hint="eastAsia" w:ascii="Times New Roman" w:hAnsi="Times New Roman" w:eastAsia="仿宋_GB2312"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又</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明确</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eastAsia="zh-CN" w:bidi="ar"/>
          <w14:textFill>
            <w14:solidFill>
              <w14:schemeClr w14:val="tx1"/>
            </w14:solidFill>
          </w14:textFill>
        </w:rPr>
        <w:t>提出</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，广东要举全省之力</w:t>
      </w:r>
      <w:r>
        <w:rPr>
          <w:rFonts w:hint="eastAsia" w:ascii="Times New Roman" w:hAnsi="Times New Roman" w:eastAsia="仿宋_GB2312" w:cs="Times New Roman"/>
          <w:i w:val="0"/>
          <w:iCs w:val="0"/>
          <w:caps w:val="0"/>
          <w:color w:val="000000" w:themeColor="text1"/>
          <w:spacing w:val="0"/>
          <w:kern w:val="0"/>
          <w:sz w:val="32"/>
          <w:szCs w:val="32"/>
          <w:highlight w:val="none"/>
          <w:shd w:val="clear"/>
          <w:lang w:val="en-US" w:eastAsia="zh-CN" w:bidi="ar"/>
          <w14:textFill>
            <w14:solidFill>
              <w14:schemeClr w14:val="tx1"/>
            </w14:solidFill>
          </w14:textFill>
        </w:rPr>
        <w:t>建设好</w:t>
      </w:r>
      <w:r>
        <w:rPr>
          <w:rFonts w:hint="default" w:ascii="Times New Roman" w:hAnsi="Times New Roman" w:eastAsia="仿宋_GB2312" w:cs="Times New Roman"/>
          <w:i w:val="0"/>
          <w:iCs w:val="0"/>
          <w:caps w:val="0"/>
          <w:color w:val="000000" w:themeColor="text1"/>
          <w:spacing w:val="0"/>
          <w:kern w:val="0"/>
          <w:sz w:val="32"/>
          <w:szCs w:val="32"/>
          <w:highlight w:val="none"/>
          <w:shd w:val="clear"/>
          <w:lang w:val="zh-CN" w:bidi="ar"/>
          <w14:textFill>
            <w14:solidFill>
              <w14:schemeClr w14:val="tx1"/>
            </w14:solidFill>
          </w14:textFill>
        </w:rPr>
        <w:t>粤港澳大湾区。</w:t>
      </w:r>
      <w:r>
        <w:rPr>
          <w:rFonts w:hint="default" w:ascii="Times New Roman" w:hAnsi="Times New Roman" w:eastAsia="仿宋_GB2312" w:cs="Times New Roman"/>
          <w:i w:val="0"/>
          <w:iCs w:val="0"/>
          <w:caps w:val="0"/>
          <w:color w:val="000000" w:themeColor="text1"/>
          <w:spacing w:val="0"/>
          <w:sz w:val="32"/>
          <w:szCs w:val="32"/>
          <w:highlight w:val="none"/>
          <w:shd w:val="clear" w:fill="auto"/>
          <w:vertAlign w:val="baseline"/>
          <w:lang w:val="zh-CN" w:bidi="ar"/>
          <w14:textFill>
            <w14:solidFill>
              <w14:schemeClr w14:val="tx1"/>
            </w14:solidFill>
          </w14:textFill>
        </w:rPr>
        <w:t>随着粤港澳大湾区</w:t>
      </w:r>
      <w:r>
        <w:rPr>
          <w:rFonts w:hint="eastAsia" w:ascii="Times New Roman" w:hAnsi="Times New Roman" w:eastAsia="仿宋_GB2312" w:cs="Times New Roman"/>
          <w:i w:val="0"/>
          <w:iCs w:val="0"/>
          <w:caps w:val="0"/>
          <w:color w:val="000000" w:themeColor="text1"/>
          <w:spacing w:val="0"/>
          <w:sz w:val="32"/>
          <w:szCs w:val="32"/>
          <w:highlight w:val="none"/>
          <w:shd w:val="clear"/>
          <w:vertAlign w:val="baseline"/>
          <w:lang w:val="en-US" w:eastAsia="zh-CN" w:bidi="ar"/>
          <w14:textFill>
            <w14:solidFill>
              <w14:schemeClr w14:val="tx1"/>
            </w14:solidFill>
          </w14:textFill>
        </w:rPr>
        <w:t>战略的纵深推进</w:t>
      </w:r>
      <w:r>
        <w:rPr>
          <w:rFonts w:hint="default" w:ascii="Times New Roman" w:hAnsi="Times New Roman" w:eastAsia="仿宋_GB2312" w:cs="Times New Roman"/>
          <w:i w:val="0"/>
          <w:iCs w:val="0"/>
          <w:caps w:val="0"/>
          <w:color w:val="000000" w:themeColor="text1"/>
          <w:spacing w:val="0"/>
          <w:sz w:val="32"/>
          <w:szCs w:val="32"/>
          <w:highlight w:val="none"/>
          <w:shd w:val="clear" w:fill="auto"/>
          <w:vertAlign w:val="baseline"/>
          <w:lang w:val="zh-CN" w:bidi="ar"/>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32"/>
          <w:highlight w:val="none"/>
          <w:shd w:val="clear"/>
          <w:vertAlign w:val="baseline"/>
          <w:lang w:val="en-US" w:eastAsia="zh-CN" w:bidi="ar"/>
          <w14:textFill>
            <w14:solidFill>
              <w14:schemeClr w14:val="tx1"/>
            </w14:solidFill>
          </w14:textFill>
        </w:rPr>
        <w:t>对优质</w:t>
      </w:r>
      <w:r>
        <w:rPr>
          <w:rFonts w:hint="default" w:ascii="Times New Roman" w:hAnsi="Times New Roman" w:eastAsia="仿宋_GB2312" w:cs="Times New Roman"/>
          <w:i w:val="0"/>
          <w:iCs w:val="0"/>
          <w:caps w:val="0"/>
          <w:color w:val="000000" w:themeColor="text1"/>
          <w:spacing w:val="0"/>
          <w:sz w:val="32"/>
          <w:szCs w:val="32"/>
          <w:highlight w:val="none"/>
          <w:shd w:val="clear" w:fill="auto"/>
          <w:vertAlign w:val="baseline"/>
          <w:lang w:val="zh-CN" w:bidi="ar"/>
          <w14:textFill>
            <w14:solidFill>
              <w14:schemeClr w14:val="tx1"/>
            </w14:solidFill>
          </w14:textFill>
        </w:rPr>
        <w:t>农产品</w:t>
      </w:r>
      <w:r>
        <w:rPr>
          <w:rFonts w:hint="eastAsia" w:ascii="Times New Roman" w:hAnsi="Times New Roman" w:eastAsia="仿宋_GB2312" w:cs="Times New Roman"/>
          <w:i w:val="0"/>
          <w:iCs w:val="0"/>
          <w:caps w:val="0"/>
          <w:color w:val="000000" w:themeColor="text1"/>
          <w:spacing w:val="0"/>
          <w:sz w:val="32"/>
          <w:szCs w:val="32"/>
          <w:highlight w:val="none"/>
          <w:shd w:val="clear"/>
          <w:vertAlign w:val="baseline"/>
          <w:lang w:val="en-US" w:eastAsia="zh-CN" w:bidi="ar"/>
          <w14:textFill>
            <w14:solidFill>
              <w14:schemeClr w14:val="tx1"/>
            </w14:solidFill>
          </w14:textFill>
        </w:rPr>
        <w:t>的标准体系、市场供应体系、品牌体系建设等提出了更高要求，这将为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工程</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建设带来重要战略机遇</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（二）</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国家推动全国统一大市场建设给粤港澳大湾区</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菜篮子</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工程带来新动力。</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2022年3月，</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《中共中央</w:t>
      </w:r>
      <w:r>
        <w:rPr>
          <w:rFonts w:hint="eastAsia" w:ascii="Times New Roman" w:hAnsi="Times New Roman" w:eastAsia="仿宋_GB2312" w:cs="Times New Roman"/>
          <w:i w:val="0"/>
          <w:iCs w:val="0"/>
          <w:caps w:val="0"/>
          <w:color w:val="000000" w:themeColor="text1"/>
          <w:spacing w:val="0"/>
          <w:sz w:val="32"/>
          <w:szCs w:val="32"/>
          <w:highlight w:val="none"/>
          <w:shd w:val="clear" w:fill="auto"/>
          <w:lang w:val="en-US" w:eastAsia="zh-CN"/>
          <w14:textFill>
            <w14:solidFill>
              <w14:schemeClr w14:val="tx1"/>
            </w14:solidFill>
          </w14:textFill>
        </w:rPr>
        <w:t xml:space="preserve"> </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国务院关于加快建设全国统一大市场的意见》发布</w:t>
      </w:r>
      <w:r>
        <w:rPr>
          <w:rFonts w:hint="eastAsia" w:ascii="Times New Roman" w:hAnsi="Times New Roman"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提出了</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实行统一的市场准入制度</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维护统一的公平竞争制度</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健全统一的社会信用制度</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完善市场信息交互渠道</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推动</w:t>
      </w:r>
      <w:r>
        <w:rPr>
          <w:rFonts w:hint="default" w:ascii="Times New Roman" w:hAnsi="Times New Roman" w:eastAsia="仿宋_GB2312" w:cs="Times New Roman"/>
          <w:i w:val="0"/>
          <w:iCs w:val="0"/>
          <w:caps w:val="0"/>
          <w:color w:val="000000" w:themeColor="text1"/>
          <w:spacing w:val="0"/>
          <w:sz w:val="32"/>
          <w:szCs w:val="32"/>
          <w:highlight w:val="none"/>
          <w:shd w:val="clear" w:fill="auto"/>
          <w:lang w:val="en-US"/>
          <w14:textFill>
            <w14:solidFill>
              <w14:schemeClr w14:val="tx1"/>
            </w14:solidFill>
          </w14:textFill>
        </w:rPr>
        <w:t>交易</w:t>
      </w:r>
      <w:r>
        <w:rPr>
          <w:rFonts w:hint="default"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平台优化升级</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加快培育统一的技术和数据市场</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健全商品质量体系</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完善标准和计量体系</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健全统一市场监管规则</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强化统一市场监管执法</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全面提升市场监管能力</w:t>
      </w:r>
      <w:r>
        <w:rPr>
          <w:rFonts w:hint="default" w:ascii="Times New Roman" w:hAnsi="Times New Roman" w:eastAsia="仿宋_GB2312" w:cs="Times New Roman"/>
          <w:i w:val="0"/>
          <w:iCs w:val="0"/>
          <w:caps w:val="0"/>
          <w:color w:val="000000" w:themeColor="text1"/>
          <w:spacing w:val="0"/>
          <w:sz w:val="32"/>
          <w:szCs w:val="32"/>
          <w:highlight w:val="none"/>
          <w:shd w:val="clear" w:fill="auto"/>
          <w:lang w:eastAsia="zh-CN"/>
          <w14:textFill>
            <w14:solidFill>
              <w14:schemeClr w14:val="tx1"/>
            </w14:solidFill>
          </w14:textFill>
        </w:rPr>
        <w:t>、</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破除地方保护和区域壁垒</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等措施，</w:t>
      </w:r>
      <w:r>
        <w:rPr>
          <w:rFonts w:ascii="Times New Roman" w:hAnsi="Times New Roman" w:eastAsia="仿宋_GB2312" w:cs="Times New Roman"/>
          <w:i w:val="0"/>
          <w:iCs w:val="0"/>
          <w:caps w:val="0"/>
          <w:color w:val="000000" w:themeColor="text1"/>
          <w:spacing w:val="0"/>
          <w:sz w:val="32"/>
          <w:szCs w:val="32"/>
          <w:highlight w:val="none"/>
          <w:shd w:val="clear" w:fill="auto"/>
          <w14:textFill>
            <w14:solidFill>
              <w14:schemeClr w14:val="tx1"/>
            </w14:solidFill>
          </w14:textFill>
        </w:rPr>
        <w:t>为今后一个时期建设全国统一大市场提供了行动纲领</w:t>
      </w:r>
      <w:r>
        <w:rPr>
          <w:rFonts w:hint="eastAsia" w:ascii="Times New Roman" w:hAnsi="Times New Roman"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工程</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作为农产品</w:t>
      </w:r>
      <w:r>
        <w:rPr>
          <w:rFonts w:ascii="Times New Roman" w:hAnsi="Times New Roman" w:eastAsia="仿宋_GB2312" w:cs="Times New Roman"/>
          <w:i w:val="0"/>
          <w:iCs w:val="0"/>
          <w:caps w:val="0"/>
          <w:color w:val="000000" w:themeColor="text1"/>
          <w:spacing w:val="0"/>
          <w:sz w:val="32"/>
          <w:szCs w:val="32"/>
          <w:highlight w:val="none"/>
          <w:shd w:val="clear"/>
          <w14:textFill>
            <w14:solidFill>
              <w14:schemeClr w14:val="tx1"/>
            </w14:solidFill>
          </w14:textFill>
        </w:rPr>
        <w:t>全国统一大市场</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建设的载体和平台，其流通体系、市场体系、品牌体系等必将迎来新的发展动力。</w:t>
      </w:r>
    </w:p>
    <w:p>
      <w:pPr>
        <w:pStyle w:val="29"/>
        <w:spacing w:line="360" w:lineRule="auto"/>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（三）</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粤港澳大湾区高端农产品消费市场给粤港澳大湾区</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菜篮子</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工程</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带来强劲消费拉力</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lang w:val="zh-CN" w:eastAsia="zh-CN"/>
          <w14:textFill>
            <w14:solidFill>
              <w14:schemeClr w14:val="tx1"/>
            </w14:solidFill>
          </w14:textFill>
        </w:rPr>
        <w:t>粤港澳大湾区是我国开放程度最高、经济活力最强的</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区域之一</w:t>
      </w:r>
      <w:r>
        <w:rPr>
          <w:rFonts w:hint="eastAsia" w:ascii="Times New Roman" w:hAnsi="Times New Roman" w:eastAsia="仿宋_GB2312" w:cs="Times New Roman"/>
          <w:i w:val="0"/>
          <w:iCs w:val="0"/>
          <w:caps w:val="0"/>
          <w:color w:val="000000" w:themeColor="text1"/>
          <w:spacing w:val="0"/>
          <w:sz w:val="32"/>
          <w:szCs w:val="32"/>
          <w:highlight w:val="none"/>
          <w:shd w:val="clear"/>
          <w:lang w:val="zh-CN"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据</w:t>
      </w:r>
      <w:r>
        <w:rPr>
          <w:rFonts w:ascii="Times New Roman" w:hAnsi="Times New Roman" w:eastAsia="仿宋_GB2312" w:cs="Times New Roman"/>
          <w:i w:val="0"/>
          <w:iCs w:val="0"/>
          <w:caps w:val="0"/>
          <w:color w:val="000000" w:themeColor="text1"/>
          <w:spacing w:val="0"/>
          <w:sz w:val="32"/>
          <w:szCs w:val="32"/>
          <w:highlight w:val="none"/>
          <w:shd w:val="clear"/>
          <w14:textFill>
            <w14:solidFill>
              <w14:schemeClr w14:val="tx1"/>
            </w14:solidFill>
          </w14:textFill>
        </w:rPr>
        <w:t>广州大学、社会科学文献出版社共同发布</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的</w:t>
      </w:r>
      <w:r>
        <w:rPr>
          <w:rFonts w:ascii="Times New Roman" w:hAnsi="Times New Roman" w:eastAsia="仿宋_GB2312" w:cs="Times New Roman"/>
          <w:i w:val="0"/>
          <w:iCs w:val="0"/>
          <w:caps w:val="0"/>
          <w:color w:val="000000" w:themeColor="text1"/>
          <w:spacing w:val="0"/>
          <w:sz w:val="32"/>
          <w:szCs w:val="32"/>
          <w:highlight w:val="none"/>
          <w:shd w:val="clear"/>
          <w14:textFill>
            <w14:solidFill>
              <w14:schemeClr w14:val="tx1"/>
            </w14:solidFill>
          </w14:textFill>
        </w:rPr>
        <w:t>《粤港澳大湾区蓝皮书：中国粤港澳大湾区改革创新报告（2023）》</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2022年</w:t>
      </w:r>
      <w:r>
        <w:rPr>
          <w:rFonts w:hint="default" w:ascii="Times New Roman" w:hAnsi="Times New Roman" w:eastAsia="仿宋_GB2312" w:cs="Times New Roman"/>
          <w:i w:val="0"/>
          <w:iCs w:val="0"/>
          <w:caps w:val="0"/>
          <w:color w:val="000000" w:themeColor="text1"/>
          <w:spacing w:val="0"/>
          <w:sz w:val="32"/>
          <w:szCs w:val="32"/>
          <w:highlight w:val="none"/>
          <w:shd w:val="clear"/>
          <w:lang w:val="zh-CN" w:eastAsia="zh-CN"/>
          <w14:textFill>
            <w14:solidFill>
              <w14:schemeClr w14:val="tx1"/>
            </w14:solidFill>
          </w14:textFill>
        </w:rPr>
        <w:t>粤港澳大湾区城镇化率</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约85%，经济总量</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超13</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万亿元，占中国经济总量的</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约</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11%</w:t>
      </w:r>
      <w:r>
        <w:rPr>
          <w:rFonts w:hint="eastAsia"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拥有</w:t>
      </w:r>
      <w:r>
        <w:rPr>
          <w:rFonts w:hint="default" w:ascii="Times New Roman" w:hAnsi="Times New Roman" w:eastAsia="仿宋_GB2312" w:cs="Times New Roman"/>
          <w:i w:val="0"/>
          <w:iCs w:val="0"/>
          <w:caps w:val="0"/>
          <w:color w:val="000000" w:themeColor="text1"/>
          <w:spacing w:val="0"/>
          <w:sz w:val="32"/>
          <w:szCs w:val="32"/>
          <w:highlight w:val="none"/>
          <w:shd w:val="clear"/>
          <w:lang w:val="en-US" w:eastAsia="zh-Hans"/>
          <w14:textFill>
            <w14:solidFill>
              <w14:schemeClr w14:val="tx1"/>
            </w14:solidFill>
          </w14:textFill>
        </w:rPr>
        <w:t>强大的辐射驱动效应以及</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庞大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高端消费市场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对优质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、高端</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农产品和农业农村多功能需求</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强劲。</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Hans"/>
          <w14:textFill>
            <w14:solidFill>
              <w14:schemeClr w14:val="tx1"/>
            </w14:solidFill>
          </w14:textFill>
        </w:rPr>
        <w:t>2021年</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广州作为我国首批开展</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Hans"/>
          <w14:textFill>
            <w14:solidFill>
              <w14:schemeClr w14:val="tx1"/>
            </w14:solidFill>
          </w14:textFill>
        </w:rPr>
        <w:t>国际消费中心城市”培育</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的五个</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Hans"/>
          <w14:textFill>
            <w14:solidFill>
              <w14:schemeClr w14:val="tx1"/>
            </w14:solidFill>
          </w14:textFill>
        </w:rPr>
        <w:t>建设城市</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之一</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正逐步</w:t>
      </w:r>
      <w:r>
        <w:rPr>
          <w:rFonts w:hint="eastAsia"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加快消费转型升级</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同时，在</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“双循环”发</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展新格局下，</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大湾区</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市场消费潜力将进一步被激发，</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对优质</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产品的</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消费动力也将进一步激活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，从而拉动粤港澳大湾区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eastAsia" w:ascii="仿宋_GB2312" w:hAnsi="仿宋_GB2312" w:eastAsia="仿宋_GB2312" w:cs="仿宋_GB2312"/>
          <w:color w:val="000000" w:themeColor="text1"/>
          <w:sz w:val="32"/>
          <w:szCs w:val="32"/>
          <w:highlight w:val="none"/>
          <w:lang w:val="en-US" w:eastAsia="zh-CN" w:bidi="ar"/>
          <w14:textFill>
            <w14:solidFill>
              <w14:schemeClr w14:val="tx1"/>
            </w14:solidFill>
          </w14:textFill>
        </w:rPr>
        <w:t>工程向更大规模拓展</w:t>
      </w:r>
      <w:r>
        <w:rPr>
          <w:rFonts w:hint="default" w:ascii="Times New Roman" w:hAnsi="Times New Roman" w:eastAsia="仿宋_GB2312" w:cs="Times New Roman"/>
          <w:color w:val="000000" w:themeColor="text1"/>
          <w:sz w:val="32"/>
          <w:szCs w:val="22"/>
          <w:highlight w:val="none"/>
          <w:lang w:val="en-US" w:eastAsia="zh-Hans"/>
          <w14:textFill>
            <w14:solidFill>
              <w14:schemeClr w14:val="tx1"/>
            </w14:solidFill>
          </w14:textFill>
        </w:rPr>
        <w:t>。</w:t>
      </w:r>
    </w:p>
    <w:p>
      <w:pPr>
        <w:pStyle w:val="29"/>
        <w:spacing w:line="360" w:lineRule="auto"/>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（四）</w:t>
      </w:r>
      <w:r>
        <w:rPr>
          <w:rFonts w:hint="default" w:ascii="Times New Roman" w:hAnsi="Times New Roman" w:eastAsia="楷体_GB2312" w:cs="Times New Roman"/>
          <w:b w:val="0"/>
          <w:bCs w:val="0"/>
          <w:color w:val="000000" w:themeColor="text1"/>
          <w:sz w:val="32"/>
          <w:szCs w:val="22"/>
          <w:highlight w:val="none"/>
          <w:lang w:val="en-US" w:eastAsia="zh-CN"/>
          <w14:textFill>
            <w14:solidFill>
              <w14:schemeClr w14:val="tx1"/>
            </w14:solidFill>
          </w14:textFill>
        </w:rPr>
        <w:t>RCEP</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启航给粤港澳大湾区“菜篮子”工程带来</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重大国际机遇。</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2022年1月1日，</w:t>
      </w:r>
      <w:r>
        <w:rPr>
          <w:rFonts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《区域全面经济伙伴关系协定》</w:t>
      </w:r>
      <w:r>
        <w:rPr>
          <w:rFonts w:hint="default"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RCEP</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正式生效，这是迄今为止全球涵盖人口最多、成员构成最多元、发展最具活力的自由贸易区，使得全球约1/3的总人口、经济体量形成一体化的大市场。粤港澳大湾区是我国对外开放的桥头堡，粤港澳大湾区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工程是</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优质农产品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进出口的平台</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RCEP农产品</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“零关税”政</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策等重大利好，将有利于其实现</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卖</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全球、</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买</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全球</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目标</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，带动粤港澳大湾区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eastAsia" w:ascii="仿宋_GB2312" w:hAnsi="仿宋_GB2312" w:eastAsia="仿宋_GB2312" w:cs="仿宋_GB2312"/>
          <w:color w:val="000000" w:themeColor="text1"/>
          <w:sz w:val="32"/>
          <w:szCs w:val="32"/>
          <w:highlight w:val="none"/>
          <w:lang w:val="en-US" w:eastAsia="zh-CN" w:bidi="ar"/>
          <w14:textFill>
            <w14:solidFill>
              <w14:schemeClr w14:val="tx1"/>
            </w14:solidFill>
          </w14:textFill>
        </w:rPr>
        <w:t>工程向更高站位、更严标准、更广范围拓展</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p>
    <w:p>
      <w:pPr>
        <w:ind w:firstLine="0" w:firstLineChars="0"/>
        <w:rPr>
          <w:rFonts w:hint="default"/>
          <w:color w:val="000000" w:themeColor="text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100" w:after="100" w:line="360" w:lineRule="auto"/>
        <w:jc w:val="center"/>
        <w:textAlignment w:val="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bookmarkStart w:id="60" w:name="_Toc13829"/>
      <w:bookmarkStart w:id="61" w:name="_Toc3698"/>
      <w:bookmarkStart w:id="62" w:name="_Toc12150"/>
      <w:bookmarkStart w:id="63" w:name="_Toc6818"/>
      <w:bookmarkStart w:id="64" w:name="_Toc19298"/>
      <w:bookmarkStart w:id="65" w:name="_Toc11108"/>
      <w:bookmarkStart w:id="66" w:name="_Toc10361"/>
      <w:bookmarkStart w:id="67" w:name="_Toc17746"/>
      <w:bookmarkStart w:id="68" w:name="_Toc18941"/>
      <w:bookmarkStart w:id="69" w:name="_Toc31732"/>
      <w:bookmarkStart w:id="70" w:name="_Toc10747"/>
      <w:bookmarkStart w:id="71" w:name="_Toc14322"/>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第二章  求实创新 科学确定指导方针和目标</w:t>
      </w:r>
      <w:bookmarkEnd w:id="60"/>
      <w:bookmarkEnd w:id="61"/>
      <w:bookmarkEnd w:id="62"/>
      <w:bookmarkEnd w:id="63"/>
      <w:bookmarkEnd w:id="64"/>
      <w:bookmarkEnd w:id="65"/>
      <w:bookmarkEnd w:id="66"/>
      <w:bookmarkEnd w:id="67"/>
      <w:bookmarkEnd w:id="68"/>
      <w:bookmarkEnd w:id="69"/>
      <w:bookmarkEnd w:id="70"/>
      <w:bookmarkEnd w:id="71"/>
    </w:p>
    <w:p>
      <w:pPr>
        <w:pStyle w:val="29"/>
        <w:spacing w:line="360" w:lineRule="auto"/>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p>
    <w:p>
      <w:pPr>
        <w:pStyle w:val="29"/>
        <w:spacing w:line="360" w:lineRule="auto"/>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在我国</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全面建设社会主义现代化国家新征程</w:t>
      </w:r>
      <w:r>
        <w:rPr>
          <w:rFonts w:hint="default" w:ascii="Times New Roman" w:hAnsi="Times New Roman" w:eastAsia="仿宋_GB2312" w:cs="Times New Roman"/>
          <w:color w:val="000000" w:themeColor="text1"/>
          <w:kern w:val="0"/>
          <w:sz w:val="32"/>
          <w:szCs w:val="32"/>
          <w:highlight w:val="none"/>
          <w:lang w:val="en-US" w:eastAsia="zh-CN" w:bidi="ar"/>
          <w14:textFill>
            <w14:solidFill>
              <w14:schemeClr w14:val="tx1"/>
            </w14:solidFill>
          </w14:textFill>
        </w:rPr>
        <w:t>的重要时期</w:t>
      </w:r>
      <w:r>
        <w:rPr>
          <w:rFonts w:hint="default" w:ascii="Times New Roman" w:hAnsi="Times New Roman" w:eastAsia="仿宋_GB2312" w:cs="Times New Roman"/>
          <w:color w:val="000000" w:themeColor="text1"/>
          <w:kern w:val="0"/>
          <w:sz w:val="32"/>
          <w:szCs w:val="32"/>
          <w:highlight w:val="none"/>
          <w:lang w:val="zh-CN" w:eastAsia="zh-CN" w:bidi="ar"/>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粤港澳大湾区“菜篮子”工</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程</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工作重心将逐渐从建平台、搭框架转向强推进、提效益，必须结合国内外、省内外新形势，以新思路凝聚新共识，以新目标引领新发展，谱写粤港澳大湾区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工程建设新篇章。</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72" w:name="_Toc6581"/>
      <w:bookmarkStart w:id="73" w:name="_Toc22727"/>
      <w:bookmarkStart w:id="74" w:name="_Toc4323"/>
      <w:bookmarkStart w:id="75" w:name="_Toc24946"/>
      <w:bookmarkStart w:id="76" w:name="_Toc10239"/>
      <w:bookmarkStart w:id="77" w:name="_Toc19531"/>
      <w:bookmarkStart w:id="78" w:name="_Toc23458"/>
      <w:bookmarkStart w:id="79" w:name="_Toc8172"/>
      <w:bookmarkStart w:id="80" w:name="_Toc16495"/>
      <w:bookmarkStart w:id="81" w:name="_Toc25135"/>
      <w:bookmarkStart w:id="82" w:name="_Toc17514"/>
      <w:bookmarkStart w:id="83" w:name="_Toc3408"/>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一、指导思想</w:t>
      </w:r>
      <w:bookmarkEnd w:id="72"/>
      <w:bookmarkEnd w:id="73"/>
      <w:bookmarkEnd w:id="74"/>
      <w:bookmarkEnd w:id="75"/>
      <w:bookmarkEnd w:id="76"/>
      <w:bookmarkEnd w:id="77"/>
      <w:bookmarkEnd w:id="78"/>
      <w:bookmarkEnd w:id="79"/>
      <w:bookmarkEnd w:id="80"/>
      <w:bookmarkEnd w:id="81"/>
      <w:bookmarkEnd w:id="82"/>
      <w:bookmarkEnd w:id="83"/>
    </w:p>
    <w:p>
      <w:pPr>
        <w:pStyle w:val="29"/>
        <w:spacing w:line="360" w:lineRule="auto"/>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以习近平新时代中国特色社会主义思想为指导，</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以习近平总书记视察广东的重要讲话精神为遵循，</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全面贯彻落实</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党的二十大和二十届历次全会</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精神，立足新发展阶段、贯彻新发展理念、构建新发展格局、推动高质量发展，</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树立大农业观、大食物观，</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抢抓</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“双区”建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设重大机遇，以改革创新为根本动力，以满足人民群众日益增长的美好生活需要和带动乡村产业高质量发展为根本目的，推进</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标准体系</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健全统一</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生产体系扩容提质、流通体系畅通优化、市场体系高效多元、品牌体系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更加</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完备，将</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粤港澳大湾区“菜篮子”工程</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打造为畅销湾区、风行全国、走向世界</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标准化、现代化、便利化平台，确保</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产品量足品丰、质优价稳，为粤港澳大湾区市场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及全国人民</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提供更多更优的食用农产品，并带动全国农业高质量发展，增强广大人民的幸福感。</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84" w:name="_Toc21736"/>
      <w:bookmarkStart w:id="85" w:name="_Toc8523"/>
      <w:bookmarkStart w:id="86" w:name="_Toc14884"/>
      <w:bookmarkStart w:id="87" w:name="_Toc6141"/>
      <w:bookmarkStart w:id="88" w:name="_Toc20608"/>
      <w:bookmarkStart w:id="89" w:name="_Toc26489"/>
      <w:bookmarkStart w:id="90" w:name="_Toc1204"/>
      <w:bookmarkStart w:id="91" w:name="_Toc24523"/>
      <w:bookmarkStart w:id="92" w:name="_Toc17954"/>
      <w:bookmarkStart w:id="93" w:name="_Toc22454"/>
      <w:bookmarkStart w:id="94" w:name="_Toc13177"/>
      <w:bookmarkStart w:id="95" w:name="_Toc28244"/>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二、基本原则</w:t>
      </w:r>
      <w:bookmarkEnd w:id="84"/>
      <w:bookmarkEnd w:id="85"/>
      <w:bookmarkEnd w:id="86"/>
      <w:bookmarkEnd w:id="87"/>
      <w:bookmarkEnd w:id="88"/>
      <w:bookmarkEnd w:id="89"/>
      <w:bookmarkEnd w:id="90"/>
      <w:bookmarkEnd w:id="91"/>
      <w:bookmarkEnd w:id="92"/>
      <w:bookmarkEnd w:id="93"/>
      <w:bookmarkEnd w:id="94"/>
      <w:bookmarkEnd w:id="95"/>
    </w:p>
    <w:p>
      <w:pPr>
        <w:pStyle w:val="29"/>
        <w:spacing w:line="360" w:lineRule="auto"/>
        <w:ind w:firstLine="482"/>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（一）坚持政府引导、市场主导。</w:t>
      </w:r>
      <w:r>
        <w:rPr>
          <w:rFonts w:ascii="Times New Roman" w:hAnsi="Times New Roman" w:eastAsia="仿宋_GB2312" w:cs="Times New Roman"/>
          <w:bCs/>
          <w:color w:val="000000" w:themeColor="text1"/>
          <w:sz w:val="32"/>
          <w:szCs w:val="32"/>
          <w:highlight w:val="none"/>
          <w14:textFill>
            <w14:solidFill>
              <w14:schemeClr w14:val="tx1"/>
            </w14:solidFill>
          </w14:textFill>
        </w:rPr>
        <w:t>把有为政府和有效市场结合起来</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政府</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引导，</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做好优平台、出政策、立标准、强服务等工作</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市场</w:t>
      </w:r>
      <w:r>
        <w:rPr>
          <w:rFonts w:ascii="Times New Roman" w:hAnsi="Times New Roman" w:eastAsia="仿宋_GB2312" w:cs="Times New Roman"/>
          <w:bCs/>
          <w:color w:val="000000" w:themeColor="text1"/>
          <w:sz w:val="32"/>
          <w:szCs w:val="32"/>
          <w:highlight w:val="none"/>
          <w14:textFill>
            <w14:solidFill>
              <w14:schemeClr w14:val="tx1"/>
            </w14:solidFill>
          </w14:textFill>
        </w:rPr>
        <w:t>主导</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企业主体负责</w:t>
      </w:r>
      <w:r>
        <w:rPr>
          <w:rFonts w:ascii="Times New Roman" w:hAnsi="Times New Roman" w:eastAsia="仿宋_GB2312" w:cs="Times New Roman"/>
          <w:bCs/>
          <w:color w:val="000000" w:themeColor="text1"/>
          <w:sz w:val="32"/>
          <w:szCs w:val="32"/>
          <w:highlight w:val="none"/>
          <w14:textFill>
            <w14:solidFill>
              <w14:schemeClr w14:val="tx1"/>
            </w14:solidFill>
          </w14:textFill>
        </w:rPr>
        <w:t>生产基地建设</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w:t>
      </w:r>
      <w:r>
        <w:rPr>
          <w:rFonts w:ascii="Times New Roman" w:hAnsi="Times New Roman" w:eastAsia="仿宋_GB2312" w:cs="Times New Roman"/>
          <w:bCs/>
          <w:color w:val="000000" w:themeColor="text1"/>
          <w:sz w:val="32"/>
          <w:szCs w:val="32"/>
          <w:highlight w:val="none"/>
          <w14:textFill>
            <w14:solidFill>
              <w14:schemeClr w14:val="tx1"/>
            </w14:solidFill>
          </w14:textFill>
        </w:rPr>
        <w:t>生产经营</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ascii="Times New Roman" w:hAnsi="Times New Roman" w:eastAsia="仿宋_GB2312" w:cs="Times New Roman"/>
          <w:bCs/>
          <w:color w:val="000000" w:themeColor="text1"/>
          <w:sz w:val="32"/>
          <w:szCs w:val="32"/>
          <w:highlight w:val="none"/>
          <w14:textFill>
            <w14:solidFill>
              <w14:schemeClr w14:val="tx1"/>
            </w14:solidFill>
          </w14:textFill>
        </w:rPr>
        <w:t>产品流通</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及市场建设</w:t>
      </w:r>
      <w:r>
        <w:rPr>
          <w:rFonts w:ascii="Times New Roman" w:hAnsi="Times New Roman" w:eastAsia="仿宋_GB2312" w:cs="Times New Roman"/>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充分发挥政府政策的</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“杠杆效应”</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ascii="Times New Roman" w:hAnsi="Times New Roman" w:eastAsia="仿宋_GB2312" w:cs="Times New Roman"/>
          <w:bCs/>
          <w:color w:val="000000" w:themeColor="text1"/>
          <w:sz w:val="32"/>
          <w:szCs w:val="32"/>
          <w:highlight w:val="none"/>
          <w14:textFill>
            <w14:solidFill>
              <w14:schemeClr w14:val="tx1"/>
            </w14:solidFill>
          </w14:textFill>
        </w:rPr>
        <w:t>积极运用改革创新的举措破除制约</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粤港澳大湾区</w:t>
      </w:r>
      <w:r>
        <w:rPr>
          <w:rFonts w:hint="eastAsia" w:ascii="仿宋_GB2312" w:hAnsi="仿宋_GB2312" w:eastAsia="仿宋_GB2312" w:cs="仿宋_GB2312"/>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22"/>
          <w:highlight w:val="none"/>
          <w:lang w:val="en-US" w:eastAsia="zh-CN"/>
          <w14:textFill>
            <w14:solidFill>
              <w14:schemeClr w14:val="tx1"/>
            </w14:solidFill>
          </w14:textFill>
        </w:rPr>
        <w:t>菜篮子</w:t>
      </w:r>
      <w:r>
        <w:rPr>
          <w:rFonts w:hint="eastAsia" w:ascii="仿宋_GB2312" w:hAnsi="仿宋_GB2312" w:eastAsia="仿宋_GB2312" w:cs="仿宋_GB2312"/>
          <w:bCs w:val="0"/>
          <w:color w:val="000000" w:themeColor="text1"/>
          <w:sz w:val="32"/>
          <w:szCs w:val="22"/>
          <w:highlight w:val="none"/>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工程</w:t>
      </w:r>
      <w:r>
        <w:rPr>
          <w:rFonts w:ascii="Times New Roman" w:hAnsi="Times New Roman" w:eastAsia="仿宋_GB2312" w:cs="Times New Roman"/>
          <w:bCs/>
          <w:color w:val="000000" w:themeColor="text1"/>
          <w:sz w:val="32"/>
          <w:szCs w:val="32"/>
          <w:highlight w:val="none"/>
          <w14:textFill>
            <w14:solidFill>
              <w14:schemeClr w14:val="tx1"/>
            </w14:solidFill>
          </w14:textFill>
        </w:rPr>
        <w:t>建设的体制机制障碍，有效调动社会资本参与建设的积极性，充分凝聚各方合力，引领和促进</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粤港澳大湾区</w:t>
      </w:r>
      <w:r>
        <w:rPr>
          <w:rFonts w:hint="eastAsia" w:ascii="仿宋_GB2312" w:hAnsi="仿宋_GB2312" w:eastAsia="仿宋_GB2312" w:cs="仿宋_GB2312"/>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22"/>
          <w:highlight w:val="none"/>
          <w14:textFill>
            <w14:solidFill>
              <w14:schemeClr w14:val="tx1"/>
            </w14:solidFill>
          </w14:textFill>
        </w:rPr>
        <w:t>菜篮子”</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工程</w:t>
      </w:r>
      <w:r>
        <w:rPr>
          <w:rFonts w:ascii="Times New Roman" w:hAnsi="Times New Roman" w:eastAsia="仿宋_GB2312" w:cs="Times New Roman"/>
          <w:bCs/>
          <w:color w:val="000000" w:themeColor="text1"/>
          <w:sz w:val="32"/>
          <w:szCs w:val="32"/>
          <w:highlight w:val="none"/>
          <w14:textFill>
            <w14:solidFill>
              <w14:schemeClr w14:val="tx1"/>
            </w14:solidFill>
          </w14:textFill>
        </w:rPr>
        <w:t>高质量发展。</w:t>
      </w:r>
    </w:p>
    <w:p>
      <w:pPr>
        <w:pStyle w:val="29"/>
        <w:spacing w:line="360" w:lineRule="auto"/>
        <w:ind w:firstLine="482"/>
        <w:rPr>
          <w:rFonts w:ascii="Times New Roman" w:hAnsi="Times New Roman" w:eastAsia="仿宋_GB2312" w:cs="Times New Roman"/>
          <w:bCs/>
          <w:color w:val="000000" w:themeColor="text1"/>
          <w:sz w:val="32"/>
          <w:szCs w:val="32"/>
          <w:highlight w:val="none"/>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（二）</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坚持科学规划、整体布局。</w:t>
      </w:r>
      <w:r>
        <w:rPr>
          <w:rFonts w:ascii="Times New Roman" w:hAnsi="Times New Roman" w:eastAsia="仿宋_GB2312" w:cs="Times New Roman"/>
          <w:bCs/>
          <w:color w:val="000000" w:themeColor="text1"/>
          <w:sz w:val="32"/>
          <w:szCs w:val="32"/>
          <w:highlight w:val="none"/>
          <w14:textFill>
            <w14:solidFill>
              <w14:schemeClr w14:val="tx1"/>
            </w14:solidFill>
          </w14:textFill>
        </w:rPr>
        <w:t>按照</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标准、品牌</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生产、市场流通等</w:t>
      </w:r>
      <w:r>
        <w:rPr>
          <w:rFonts w:ascii="Times New Roman" w:hAnsi="Times New Roman" w:eastAsia="仿宋_GB2312" w:cs="Times New Roman"/>
          <w:bCs/>
          <w:color w:val="000000" w:themeColor="text1"/>
          <w:sz w:val="32"/>
          <w:szCs w:val="32"/>
          <w:highlight w:val="none"/>
          <w14:textFill>
            <w14:solidFill>
              <w14:schemeClr w14:val="tx1"/>
            </w14:solidFill>
          </w14:textFill>
        </w:rPr>
        <w:t>一体化发展思路，立足当前、着眼长远，</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统筹考虑国内各类农产品优势产区</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粤港澳大湾区销区</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及全国大中型城市的</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市场需求，合理规划</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统筹推进</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粤港澳大湾区</w:t>
      </w:r>
      <w:r>
        <w:rPr>
          <w:rFonts w:hint="eastAsia" w:ascii="仿宋_GB2312" w:hAnsi="仿宋_GB2312" w:eastAsia="仿宋_GB2312" w:cs="仿宋_GB2312"/>
          <w:bCs w:val="0"/>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工程</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标</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准体系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生产体系、市场流通体系、品牌体系</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建设</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ascii="Times New Roman" w:hAnsi="Times New Roman" w:eastAsia="仿宋_GB2312" w:cs="Times New Roman"/>
          <w:bCs/>
          <w:color w:val="000000" w:themeColor="text1"/>
          <w:sz w:val="32"/>
          <w:szCs w:val="32"/>
          <w:highlight w:val="none"/>
          <w14:textFill>
            <w14:solidFill>
              <w14:schemeClr w14:val="tx1"/>
            </w14:solidFill>
          </w14:textFill>
        </w:rPr>
        <w:t>促进资源集聚整合，不断提升</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粤港澳大湾</w:t>
      </w:r>
      <w:r>
        <w:rPr>
          <w:rFonts w:hint="eastAsia" w:ascii="仿宋_GB2312" w:hAnsi="仿宋_GB2312" w:eastAsia="仿宋_GB2312" w:cs="仿宋_GB2312"/>
          <w:bCs w:val="0"/>
          <w:color w:val="000000" w:themeColor="text1"/>
          <w:sz w:val="32"/>
          <w:szCs w:val="22"/>
          <w:highlight w:val="none"/>
          <w:lang w:val="en-US" w:eastAsia="zh-CN"/>
          <w14:textFill>
            <w14:solidFill>
              <w14:schemeClr w14:val="tx1"/>
            </w14:solidFill>
          </w14:textFill>
        </w:rPr>
        <w:t>区</w:t>
      </w:r>
      <w:r>
        <w:rPr>
          <w:rFonts w:hint="eastAsia" w:ascii="仿宋_GB2312" w:hAnsi="仿宋_GB2312" w:eastAsia="仿宋_GB2312" w:cs="仿宋_GB2312"/>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22"/>
          <w:highlight w:val="none"/>
          <w:lang w:val="en-US" w:eastAsia="zh-CN"/>
          <w14:textFill>
            <w14:solidFill>
              <w14:schemeClr w14:val="tx1"/>
            </w14:solidFill>
          </w14:textFill>
        </w:rPr>
        <w:t>菜篮子</w:t>
      </w:r>
      <w:r>
        <w:rPr>
          <w:rFonts w:hint="eastAsia" w:ascii="仿宋_GB2312" w:hAnsi="仿宋_GB2312" w:eastAsia="仿宋_GB2312" w:cs="仿宋_GB2312"/>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22"/>
          <w:highlight w:val="none"/>
          <w:lang w:val="en-US" w:eastAsia="zh-CN"/>
          <w14:textFill>
            <w14:solidFill>
              <w14:schemeClr w14:val="tx1"/>
            </w14:solidFill>
          </w14:textFill>
        </w:rPr>
        <w:t>工程</w:t>
      </w:r>
      <w:r>
        <w:rPr>
          <w:rFonts w:hint="eastAsia" w:ascii="仿宋_GB2312" w:hAnsi="仿宋_GB2312" w:eastAsia="仿宋_GB2312" w:cs="仿宋_GB2312"/>
          <w:bCs w:val="0"/>
          <w:color w:val="000000" w:themeColor="text1"/>
          <w:sz w:val="32"/>
          <w:szCs w:val="22"/>
          <w:highlight w:val="none"/>
          <w14:textFill>
            <w14:solidFill>
              <w14:schemeClr w14:val="tx1"/>
            </w14:solidFill>
          </w14:textFill>
        </w:rPr>
        <w:t>的</w:t>
      </w:r>
      <w:r>
        <w:rPr>
          <w:rFonts w:ascii="Times New Roman" w:hAnsi="Times New Roman" w:eastAsia="仿宋_GB2312" w:cs="Times New Roman"/>
          <w:bCs/>
          <w:color w:val="000000" w:themeColor="text1"/>
          <w:sz w:val="32"/>
          <w:szCs w:val="32"/>
          <w:highlight w:val="none"/>
          <w14:textFill>
            <w14:solidFill>
              <w14:schemeClr w14:val="tx1"/>
            </w14:solidFill>
          </w14:textFill>
        </w:rPr>
        <w:t>影响力和辐射力。</w:t>
      </w:r>
    </w:p>
    <w:p>
      <w:pPr>
        <w:pStyle w:val="29"/>
        <w:spacing w:line="360" w:lineRule="auto"/>
        <w:ind w:firstLine="482"/>
        <w:rPr>
          <w:rFonts w:ascii="Times New Roman" w:hAnsi="Times New Roman" w:cs="Times New Roman"/>
          <w:color w:val="000000" w:themeColor="text1"/>
          <w:highlight w:val="none"/>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（三）</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坚持产销衔接、培育品牌。</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依托粤港澳大湾区的强劲消费市场</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强化</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产销衔接，</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推动</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港澳大湾</w:t>
      </w:r>
      <w:r>
        <w:rPr>
          <w:rFonts w:hint="eastAsia" w:ascii="仿宋_GB2312" w:hAnsi="仿宋_GB2312" w:eastAsia="仿宋_GB2312" w:cs="仿宋_GB2312"/>
          <w:bCs w:val="0"/>
          <w:color w:val="000000" w:themeColor="text1"/>
          <w:sz w:val="32"/>
          <w:szCs w:val="22"/>
          <w:highlight w:val="none"/>
          <w:lang w:val="en-US" w:eastAsia="zh-CN"/>
          <w14:textFill>
            <w14:solidFill>
              <w14:schemeClr w14:val="tx1"/>
            </w14:solidFill>
          </w14:textFill>
        </w:rPr>
        <w:t>区</w:t>
      </w:r>
      <w:r>
        <w:rPr>
          <w:rFonts w:hint="eastAsia" w:ascii="仿宋_GB2312" w:hAnsi="仿宋_GB2312" w:eastAsia="仿宋_GB2312" w:cs="仿宋_GB2312"/>
          <w:bCs w:val="0"/>
          <w:color w:val="000000" w:themeColor="text1"/>
          <w:sz w:val="32"/>
          <w:szCs w:val="2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32"/>
          <w:szCs w:val="22"/>
          <w:highlight w:val="none"/>
          <w:lang w:val="en-US" w:eastAsia="zh-CN"/>
          <w14:textFill>
            <w14:solidFill>
              <w14:schemeClr w14:val="tx1"/>
            </w14:solidFill>
          </w14:textFill>
        </w:rPr>
        <w:t>菜篮子</w:t>
      </w:r>
      <w:r>
        <w:rPr>
          <w:rFonts w:hint="eastAsia" w:ascii="仿宋_GB2312" w:hAnsi="仿宋_GB2312" w:eastAsia="仿宋_GB2312" w:cs="仿宋_GB2312"/>
          <w:bCs w:val="0"/>
          <w:color w:val="000000" w:themeColor="text1"/>
          <w:sz w:val="32"/>
          <w:szCs w:val="2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生产基地扩容</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提质</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增效，带动全省、全国的优质农产品进入粤港澳大湾区乃至全球大市场，奠定规模化、标准化、品牌化生产体系的根基。坚持以品牌促发展的战略，对粤港澳大湾区</w:t>
      </w:r>
      <w:r>
        <w:rPr>
          <w:rFonts w:hint="eastAsia" w:ascii="仿宋_GB2312" w:hAnsi="仿宋_GB2312" w:eastAsia="仿宋_GB2312" w:cs="仿宋_GB2312"/>
          <w:bCs w:val="0"/>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品牌进行整体规划，创新品牌运营机制，加强品牌宣传，</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加快构建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区域公用品牌、企业品牌、产品品牌等农业品牌体系，提升市场品牌认知度，增强对产品的溢价作用，提升市场主体参与积极性。</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96" w:name="_Toc17137"/>
      <w:bookmarkStart w:id="97" w:name="_Toc32407"/>
      <w:bookmarkStart w:id="98" w:name="_Toc2332"/>
      <w:bookmarkStart w:id="99" w:name="_Toc15857"/>
      <w:bookmarkStart w:id="100" w:name="_Toc31666"/>
      <w:bookmarkStart w:id="101" w:name="_Toc1646"/>
      <w:bookmarkStart w:id="102" w:name="_Toc5230"/>
      <w:bookmarkStart w:id="103" w:name="_Toc6008"/>
      <w:bookmarkStart w:id="104" w:name="_Toc15880"/>
      <w:bookmarkStart w:id="105" w:name="_Toc13273"/>
      <w:bookmarkStart w:id="106" w:name="_Toc22596"/>
      <w:bookmarkStart w:id="107" w:name="_Toc14055"/>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发展目标</w:t>
      </w:r>
      <w:bookmarkEnd w:id="96"/>
      <w:bookmarkEnd w:id="97"/>
      <w:bookmarkEnd w:id="98"/>
      <w:bookmarkEnd w:id="99"/>
      <w:bookmarkEnd w:id="100"/>
      <w:bookmarkEnd w:id="101"/>
      <w:bookmarkEnd w:id="102"/>
      <w:bookmarkEnd w:id="103"/>
      <w:bookmarkEnd w:id="104"/>
      <w:bookmarkEnd w:id="105"/>
      <w:bookmarkEnd w:id="106"/>
      <w:bookmarkEnd w:id="107"/>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到202</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年，粤港澳大湾区</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“菜篮子”工</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程建设的政策体系、理论体系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更加</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完善，标准体系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生产体系、市场流通体系、品牌体系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更加</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健全，绿色优质</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安全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农产品供给明显增加</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稳产保供能力进一步提升。</w:t>
      </w:r>
    </w:p>
    <w:p>
      <w:pPr>
        <w:pStyle w:val="29"/>
        <w:spacing w:line="360" w:lineRule="auto"/>
        <w:ind w:firstLine="482"/>
        <w:rPr>
          <w:rFonts w:hint="eastAsia" w:ascii="Times New Roman" w:hAnsi="Times New Roman" w:eastAsia="仿宋_GB2312" w:cs="Times New Roman"/>
          <w:caps w:val="0"/>
          <w:color w:val="000000" w:themeColor="text1"/>
          <w:spacing w:val="0"/>
          <w:sz w:val="32"/>
          <w:szCs w:val="22"/>
          <w:highlight w:val="none"/>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（一）标准体系和质量安全监管逐步完善。</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按照</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缺标补标、有标贯标、低标提标</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的原则</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制定、实施</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重点农产品</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平台</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标准，</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促进</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粤港澳大湾区</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菜篮子”平台产品质量安全标准体系</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进一步完善</w:t>
      </w:r>
      <w:r>
        <w:rPr>
          <w:rFonts w:hint="eastAsia"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健全</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农产品质量安全</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追溯制度和管理机制</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确保经过</w:t>
      </w:r>
      <w:r>
        <w:rPr>
          <w:rFonts w:hint="eastAsia" w:ascii="Times New Roman" w:hAnsi="Times New Roman" w:eastAsia="仿宋_GB2312" w:cs="Times New Roman"/>
          <w:color w:val="000000" w:themeColor="text1"/>
          <w:sz w:val="32"/>
          <w:szCs w:val="22"/>
          <w:highlight w:val="none"/>
          <w14:textFill>
            <w14:solidFill>
              <w14:schemeClr w14:val="tx1"/>
            </w14:solidFill>
          </w14:textFill>
        </w:rPr>
        <w:t>粤港澳大湾区</w:t>
      </w:r>
      <w:r>
        <w:rPr>
          <w:rFonts w:hint="eastAsia" w:ascii="Times New Roman" w:hAnsi="Times New Roman" w:eastAsia="仿宋_GB2312" w:cs="Times New Roman"/>
          <w:color w:val="000000" w:themeColor="text1"/>
          <w:sz w:val="32"/>
          <w:szCs w:val="22"/>
          <w:highlight w:val="non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14:textFill>
            <w14:solidFill>
              <w14:schemeClr w14:val="tx1"/>
            </w14:solidFill>
          </w14:textFill>
        </w:rPr>
        <w:t>菜篮子”农产品质量安全溯源管理平台</w:t>
      </w:r>
      <w:r>
        <w:rPr>
          <w:rFonts w:hint="eastAsia" w:ascii="Times New Roman" w:hAnsi="Times New Roman" w:eastAsia="仿宋_GB2312" w:cs="Times New Roman"/>
          <w:color w:val="000000" w:themeColor="text1"/>
          <w:sz w:val="32"/>
          <w:szCs w:val="22"/>
          <w:highlight w:val="none"/>
          <w:lang w:eastAsia="zh-CN"/>
          <w14:textFill>
            <w14:solidFill>
              <w14:schemeClr w14:val="tx1"/>
            </w14:solidFill>
          </w14:textFill>
        </w:rPr>
        <w:t>的</w:t>
      </w:r>
      <w:r>
        <w:rPr>
          <w:rFonts w:hint="eastAsia" w:ascii="Times New Roman" w:hAnsi="Times New Roman" w:eastAsia="仿宋_GB2312" w:cs="Times New Roman"/>
          <w:color w:val="000000" w:themeColor="text1"/>
          <w:sz w:val="32"/>
          <w:szCs w:val="22"/>
          <w:highlight w:val="none"/>
          <w14:textFill>
            <w14:solidFill>
              <w14:schemeClr w14:val="tx1"/>
            </w14:solidFill>
          </w14:textFill>
        </w:rPr>
        <w:t>农产品安全优质</w:t>
      </w:r>
      <w:r>
        <w:rPr>
          <w:rFonts w:hint="eastAsia" w:ascii="Times New Roman" w:hAnsi="Times New Roman" w:eastAsia="仿宋_GB2312" w:cs="Times New Roman"/>
          <w:color w:val="000000" w:themeColor="text1"/>
          <w:sz w:val="32"/>
          <w:szCs w:val="22"/>
          <w:highlight w:val="none"/>
          <w:lang w:eastAsia="zh-CN"/>
          <w14:textFill>
            <w14:solidFill>
              <w14:schemeClr w14:val="tx1"/>
            </w14:solidFill>
          </w14:textFill>
        </w:rPr>
        <w:t>，</w:t>
      </w:r>
      <w:r>
        <w:rPr>
          <w:rFonts w:hint="default" w:ascii="Times New Roman" w:hAnsi="Times New Roman" w:eastAsia="仿宋_GB2312" w:cs="Times New Roman"/>
          <w:caps w:val="0"/>
          <w:color w:val="000000" w:themeColor="text1"/>
          <w:spacing w:val="0"/>
          <w:sz w:val="32"/>
          <w:szCs w:val="22"/>
          <w:highlight w:val="none"/>
          <w14:textFill>
            <w14:solidFill>
              <w14:schemeClr w14:val="tx1"/>
            </w14:solidFill>
          </w14:textFill>
        </w:rPr>
        <w:t>产品质量安全监测总体合格率</w:t>
      </w:r>
      <w:r>
        <w:rPr>
          <w:rFonts w:hint="eastAsia" w:ascii="Times New Roman" w:hAnsi="Times New Roman" w:eastAsia="仿宋_GB2312" w:cs="Times New Roman"/>
          <w:caps w:val="0"/>
          <w:color w:val="000000" w:themeColor="text1"/>
          <w:spacing w:val="0"/>
          <w:sz w:val="32"/>
          <w:szCs w:val="22"/>
          <w:highlight w:val="none"/>
          <w:lang w:val="en-US" w:eastAsia="zh-CN"/>
          <w14:textFill>
            <w14:solidFill>
              <w14:schemeClr w14:val="tx1"/>
            </w14:solidFill>
          </w14:textFill>
        </w:rPr>
        <w:t>保持在较高水平。</w:t>
      </w:r>
    </w:p>
    <w:p>
      <w:pPr>
        <w:pStyle w:val="29"/>
        <w:spacing w:line="360" w:lineRule="auto"/>
        <w:ind w:firstLine="482"/>
        <w:rPr>
          <w:rFonts w:hint="default" w:ascii="Times New Roman" w:hAnsi="Times New Roman" w:eastAsia="仿宋_GB2312" w:cs="Times New Roman"/>
          <w:color w:val="FF0000"/>
          <w:sz w:val="32"/>
          <w:szCs w:val="22"/>
          <w:highlight w:val="none"/>
          <w:lang w:val="en-US" w:eastAsia="zh-CN"/>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（二）</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生产体系稳步</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做强</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生产基地布局更加合理</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品种结构更加优化，供给体系适配性明显增强。生产基地数量</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2500个左右</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规模相对稳定，能在应急状态或重大节日时期发挥稳产保供作用；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安全均衡供应水平明显提高，</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整体满足</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人们</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对“菜篮子”产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品的多元需求；合作共建地</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市</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覆盖范围更</w:t>
      </w:r>
      <w:r>
        <w:rPr>
          <w:rFonts w:hint="default" w:ascii="Times New Roman" w:hAnsi="Times New Roman" w:eastAsia="仿宋_GB2312" w:cs="Times New Roman"/>
          <w:color w:val="auto"/>
          <w:sz w:val="32"/>
          <w:szCs w:val="22"/>
          <w:highlight w:val="none"/>
          <w:lang w:val="en-US" w:eastAsia="zh-CN"/>
        </w:rPr>
        <w:t>广。</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（三）</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市场流通体系逐步</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做大、做活</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持续深化</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田头直销</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流通模式，推动交易中心</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中心基础设施</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完善</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和服务水平提升，</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进一步</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促进产销信息衔接，</w:t>
      </w:r>
      <w:r>
        <w:rPr>
          <w:rFonts w:hint="default" w:ascii="Times New Roman" w:hAnsi="Times New Roman" w:eastAsia="仿宋_GB2312" w:cs="Times New Roman"/>
          <w:color w:val="000000" w:themeColor="text1"/>
          <w:sz w:val="32"/>
          <w:szCs w:val="22"/>
          <w:highlight w:val="none"/>
          <w14:textFill>
            <w14:solidFill>
              <w14:schemeClr w14:val="tx1"/>
            </w14:solidFill>
          </w14:textFill>
        </w:rPr>
        <w:t>减少中间环节，提升</w:t>
      </w:r>
      <w:r>
        <w:rPr>
          <w:rFonts w:hint="default" w:ascii="Times New Roman" w:hAnsi="Times New Roman" w:eastAsia="仿宋_GB2312" w:cs="Times New Roman"/>
          <w:color w:val="000000" w:themeColor="text1"/>
          <w:sz w:val="32"/>
          <w:szCs w:val="22"/>
          <w:highlight w:val="none"/>
          <w:lang w:eastAsia="zh-CN"/>
          <w14:textFill>
            <w14:solidFill>
              <w14:schemeClr w14:val="tx1"/>
            </w14:solidFill>
          </w14:textFill>
        </w:rPr>
        <w:t>流通</w:t>
      </w:r>
      <w:r>
        <w:rPr>
          <w:rFonts w:hint="default" w:ascii="Times New Roman" w:hAnsi="Times New Roman" w:eastAsia="仿宋_GB2312" w:cs="Times New Roman"/>
          <w:color w:val="000000" w:themeColor="text1"/>
          <w:sz w:val="32"/>
          <w:szCs w:val="22"/>
          <w:highlight w:val="none"/>
          <w14:textFill>
            <w14:solidFill>
              <w14:schemeClr w14:val="tx1"/>
            </w14:solidFill>
          </w14:textFill>
        </w:rPr>
        <w:t>效率与效益</w:t>
      </w:r>
      <w:r>
        <w:rPr>
          <w:rFonts w:hint="default" w:ascii="Times New Roman" w:hAnsi="Times New Roman" w:eastAsia="仿宋_GB2312" w:cs="Times New Roman"/>
          <w:color w:val="000000" w:themeColor="text1"/>
          <w:sz w:val="32"/>
          <w:szCs w:val="22"/>
          <w:highlight w:val="none"/>
          <w:lang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全国范围内产品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中心</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数量力争</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达到</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20</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个</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以上</w:t>
      </w:r>
      <w:r>
        <w:rPr>
          <w:rFonts w:hint="default" w:ascii="Times New Roman" w:hAnsi="Times New Roman" w:eastAsia="仿宋_GB2312" w:cs="Times New Roman"/>
          <w:color w:val="auto"/>
          <w:sz w:val="32"/>
          <w:szCs w:val="22"/>
          <w:highlight w:val="none"/>
          <w:lang w:val="en-US" w:eastAsia="zh-CN"/>
        </w:rPr>
        <w:t>，平台日</w:t>
      </w:r>
      <w:r>
        <w:rPr>
          <w:rFonts w:hint="eastAsia" w:ascii="Times New Roman" w:hAnsi="Times New Roman" w:eastAsia="仿宋_GB2312" w:cs="Times New Roman"/>
          <w:color w:val="auto"/>
          <w:sz w:val="32"/>
          <w:szCs w:val="22"/>
          <w:highlight w:val="none"/>
          <w:lang w:val="en-US" w:eastAsia="zh-CN"/>
        </w:rPr>
        <w:t>均</w:t>
      </w:r>
      <w:r>
        <w:rPr>
          <w:rFonts w:hint="default" w:ascii="Times New Roman" w:hAnsi="Times New Roman" w:eastAsia="仿宋_GB2312" w:cs="Times New Roman"/>
          <w:color w:val="auto"/>
          <w:sz w:val="32"/>
          <w:szCs w:val="22"/>
          <w:highlight w:val="none"/>
          <w:lang w:val="en-US" w:eastAsia="zh-CN"/>
        </w:rPr>
        <w:t>流通量达</w:t>
      </w:r>
      <w:r>
        <w:rPr>
          <w:rFonts w:hint="eastAsia" w:ascii="Times New Roman" w:hAnsi="Times New Roman" w:eastAsia="仿宋_GB2312" w:cs="Times New Roman"/>
          <w:color w:val="auto"/>
          <w:sz w:val="32"/>
          <w:szCs w:val="22"/>
          <w:highlight w:val="none"/>
          <w:lang w:val="en-US" w:eastAsia="zh-CN"/>
        </w:rPr>
        <w:t>1300</w:t>
      </w:r>
      <w:r>
        <w:rPr>
          <w:rFonts w:hint="default" w:ascii="Times New Roman" w:hAnsi="Times New Roman" w:eastAsia="仿宋_GB2312" w:cs="Times New Roman"/>
          <w:color w:val="auto"/>
          <w:sz w:val="32"/>
          <w:szCs w:val="22"/>
          <w:highlight w:val="none"/>
          <w:lang w:val="en-US" w:eastAsia="zh-CN"/>
        </w:rPr>
        <w:t>吨</w:t>
      </w:r>
      <w:r>
        <w:rPr>
          <w:rFonts w:hint="eastAsia" w:ascii="Times New Roman" w:hAnsi="Times New Roman" w:eastAsia="仿宋_GB2312" w:cs="Times New Roman"/>
          <w:color w:val="auto"/>
          <w:sz w:val="32"/>
          <w:szCs w:val="22"/>
          <w:highlight w:val="none"/>
          <w:lang w:val="en-US" w:eastAsia="zh-CN"/>
        </w:rPr>
        <w:t>左右</w:t>
      </w:r>
      <w:r>
        <w:rPr>
          <w:rFonts w:hint="default" w:ascii="Times New Roman" w:hAnsi="Times New Roman" w:eastAsia="仿宋_GB2312" w:cs="Times New Roman"/>
          <w:color w:val="auto"/>
          <w:sz w:val="32"/>
          <w:szCs w:val="22"/>
          <w:highlight w:val="none"/>
          <w:lang w:val="en-US" w:eastAsia="zh-CN"/>
        </w:rPr>
        <w:t>。</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（四）</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品牌</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影响</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力</w:t>
      </w: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进一步扩大</w:t>
      </w:r>
      <w:r>
        <w:rPr>
          <w:rFonts w:hint="default"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涵盖区域公共品牌、企业品牌、产品品牌的粤港澳大湾区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“菜篮子”工</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程品牌体系初步建立，品牌市场认知度明显提高，对产品的溢价作用显著增强。</w:t>
      </w:r>
    </w:p>
    <w:p>
      <w:pPr>
        <w:pStyle w:val="29"/>
        <w:spacing w:line="360" w:lineRule="auto"/>
        <w:ind w:firstLine="482"/>
        <w:rPr>
          <w:rFonts w:hint="default"/>
          <w:color w:val="000000" w:themeColor="text1"/>
          <w:lang w:val="en-US"/>
          <w14:textFill>
            <w14:solidFill>
              <w14:schemeClr w14:val="tx1"/>
            </w14:solidFill>
          </w14:textFill>
        </w:rPr>
      </w:pP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p>
    <w:p>
      <w:pP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100" w:after="100" w:line="360" w:lineRule="auto"/>
        <w:jc w:val="center"/>
        <w:textAlignment w:val="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bookmarkStart w:id="108" w:name="_Toc6696"/>
      <w:bookmarkStart w:id="109" w:name="_Toc1882"/>
      <w:bookmarkStart w:id="110" w:name="_Toc13882"/>
      <w:bookmarkStart w:id="111" w:name="_Toc11820"/>
      <w:bookmarkStart w:id="112" w:name="_Toc9867"/>
      <w:bookmarkStart w:id="113" w:name="_Toc18020"/>
      <w:bookmarkStart w:id="114" w:name="_Toc13337"/>
      <w:bookmarkStart w:id="115" w:name="_Toc16607"/>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第</w:t>
      </w:r>
      <w:r>
        <w:rPr>
          <w:rFonts w:hint="eastAsia"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三</w:t>
      </w: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章  强化标准 提升质量安全监管监控能力</w:t>
      </w:r>
      <w:bookmarkEnd w:id="108"/>
      <w:bookmarkEnd w:id="109"/>
      <w:bookmarkEnd w:id="110"/>
      <w:bookmarkEnd w:id="111"/>
      <w:bookmarkEnd w:id="112"/>
      <w:bookmarkEnd w:id="113"/>
      <w:bookmarkEnd w:id="114"/>
      <w:bookmarkEnd w:id="115"/>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p>
    <w:p>
      <w:pPr>
        <w:ind w:firstLine="640" w:firstLineChars="200"/>
        <w:rPr>
          <w:rFonts w:hint="eastAsia"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坚持</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缺标补标、有标贯标、低标提标</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原则，以更大格局、更高标准、更严要求，面向全国、着眼世界，不断完善粤港澳大湾区</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菜篮子</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平台产品质量安全标准体系</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，加强标准宣贯、推广实施，强化质量安全监管，逐步完善粤港澳大湾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质量安全</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发展</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新格局</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推动粤港澳大湾区食品质量水平的整体提升，满足人们对美好生活的现实需求。</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116" w:name="_Toc5990"/>
      <w:bookmarkStart w:id="117" w:name="_Toc23213"/>
      <w:bookmarkStart w:id="118" w:name="_Toc30305"/>
      <w:bookmarkStart w:id="119" w:name="_Toc8917"/>
      <w:bookmarkStart w:id="120" w:name="_Toc4419"/>
      <w:bookmarkStart w:id="121" w:name="_Toc656"/>
      <w:bookmarkStart w:id="122" w:name="_Toc3081"/>
      <w:bookmarkStart w:id="123" w:name="_Toc12636"/>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一、健全质量安全标准体系</w:t>
      </w:r>
      <w:bookmarkEnd w:id="116"/>
      <w:bookmarkEnd w:id="117"/>
      <w:bookmarkEnd w:id="118"/>
      <w:bookmarkEnd w:id="119"/>
      <w:bookmarkEnd w:id="120"/>
      <w:bookmarkEnd w:id="121"/>
      <w:bookmarkEnd w:id="122"/>
      <w:bookmarkEnd w:id="123"/>
    </w:p>
    <w:p>
      <w:pPr>
        <w:ind w:firstLine="640" w:firstLineChars="200"/>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大力推广实施</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“菜篮子”平</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台产品质量安全指标体系</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8</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项团体标准</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和2项基础类团体标准</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，引领</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产品品质稳步提升，促进粤港澳大湾</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区“菜篮子”工</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程高质量发展。</w:t>
      </w:r>
      <w:r>
        <w:rPr>
          <w:rFonts w:hint="default" w:ascii="Times New Roman" w:hAnsi="Times New Roman" w:eastAsia="仿宋_GB2312"/>
          <w:color w:val="000000" w:themeColor="text1"/>
          <w:sz w:val="32"/>
          <w:szCs w:val="32"/>
          <w:highlight w:val="none"/>
          <w14:textFill>
            <w14:solidFill>
              <w14:schemeClr w14:val="tx1"/>
            </w14:solidFill>
          </w14:textFill>
        </w:rPr>
        <w:t>进一步扩大标准的覆盖面，逐步</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制定农产品生产、贮藏、</w:t>
      </w:r>
      <w:r>
        <w:rPr>
          <w:rFonts w:hint="eastAsia" w:ascii="Times New Roman" w:hAnsi="Times New Roman" w:eastAsia="仿宋_GB2312"/>
          <w:color w:val="000000" w:themeColor="text1"/>
          <w:sz w:val="32"/>
          <w:szCs w:val="32"/>
          <w:highlight w:val="none"/>
          <w:lang w:val="en-US" w:eastAsia="zh-CN"/>
          <w14:textFill>
            <w14:solidFill>
              <w14:schemeClr w14:val="tx1"/>
            </w14:solidFill>
          </w14:textFill>
        </w:rPr>
        <w:t>流通</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等关键环节的</w:t>
      </w:r>
      <w:r>
        <w:rPr>
          <w:rFonts w:hint="default" w:ascii="Times New Roman" w:hAnsi="Times New Roman" w:eastAsia="仿宋_GB2312"/>
          <w:color w:val="000000" w:themeColor="text1"/>
          <w:sz w:val="32"/>
          <w:szCs w:val="32"/>
          <w:highlight w:val="none"/>
          <w14:textFill>
            <w14:solidFill>
              <w14:schemeClr w14:val="tx1"/>
            </w14:solidFill>
          </w14:textFill>
        </w:rPr>
        <w:t>标准，健全完善粤港澳大湾区</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olor w:val="000000" w:themeColor="text1"/>
          <w:sz w:val="32"/>
          <w:szCs w:val="32"/>
          <w:highlight w:val="none"/>
          <w14:textFill>
            <w14:solidFill>
              <w14:schemeClr w14:val="tx1"/>
            </w14:solidFill>
          </w14:textFill>
        </w:rPr>
        <w:t>菜篮子</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olor w:val="000000" w:themeColor="text1"/>
          <w:sz w:val="32"/>
          <w:szCs w:val="32"/>
          <w:highlight w:val="none"/>
          <w14:textFill>
            <w14:solidFill>
              <w14:schemeClr w14:val="tx1"/>
            </w14:solidFill>
          </w14:textFill>
        </w:rPr>
        <w:t>平台产品质量安全标准体系</w:t>
      </w:r>
      <w:r>
        <w:rPr>
          <w:rFonts w:hint="eastAsia" w:ascii="Times New Roman" w:hAnsi="Times New Roman" w:eastAsia="仿宋_GB2312"/>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支持科研院所、标准管理部门</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、经营主体</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开展</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基于</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产品质量安全</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标准的</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高品质农产品生产标准或技术规程的制定</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。推动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各</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“菜篮子”生</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产基地按标生产，逐步强化农产品生产、管理标准应用，实现优质农产品</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“产出来”+“管出来”的</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协同发展。</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124" w:name="_Toc3042"/>
      <w:bookmarkStart w:id="125" w:name="_Toc8829"/>
      <w:bookmarkStart w:id="126" w:name="_Toc26693"/>
      <w:bookmarkStart w:id="127" w:name="_Toc32063"/>
      <w:bookmarkStart w:id="128" w:name="_Toc32269"/>
      <w:bookmarkStart w:id="129" w:name="_Toc10601"/>
      <w:bookmarkStart w:id="130" w:name="_Toc32581"/>
      <w:bookmarkStart w:id="131" w:name="_Toc7787"/>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二、健全产品追溯体系</w:t>
      </w:r>
      <w:bookmarkEnd w:id="124"/>
      <w:bookmarkEnd w:id="125"/>
      <w:bookmarkEnd w:id="126"/>
      <w:bookmarkEnd w:id="127"/>
      <w:bookmarkEnd w:id="128"/>
      <w:bookmarkEnd w:id="129"/>
      <w:bookmarkEnd w:id="130"/>
      <w:bookmarkEnd w:id="13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对标现代农业</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“数字化、绿色化、国际化”</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发展目标，</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优化</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溯源管理系统，</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推进粤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港澳大湾区</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菜篮子</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农产品质量安全溯源管理平台升级改造，</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探索</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实现平台</w:t>
      </w:r>
      <w:r>
        <w:rPr>
          <w:rFonts w:hint="eastAsia"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与海关之间</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追溯信息</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无缝对接</w:t>
      </w:r>
      <w:r>
        <w:rPr>
          <w:rFonts w:hint="eastAsia"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互联互通</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完善</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平台</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产品全程追溯制度和</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监管</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机制</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深化农产品线上线</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下“一品一码”</w:t>
      </w:r>
      <w:r>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t>管理模式，对生产、加工、流通实施全过程智能监控，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实现来源可查、去向可追、责任可究，促进农产品质量安全追溯体系在保障食品安全、促进产销对接等方面发挥作用。</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深入开</w:t>
      </w:r>
      <w:r>
        <w:rPr>
          <w:rFonts w:hint="eastAsia" w:ascii="仿宋_GB2312" w:hAnsi="仿宋_GB2312" w:eastAsia="仿宋_GB2312" w:cs="仿宋_GB2312"/>
          <w:color w:val="000000" w:themeColor="text1"/>
          <w:kern w:val="0"/>
          <w:sz w:val="32"/>
          <w:szCs w:val="32"/>
          <w:highlight w:val="none"/>
          <w:lang w:val="zh-CN" w:bidi="ar"/>
          <w14:textFill>
            <w14:solidFill>
              <w14:schemeClr w14:val="tx1"/>
            </w14:solidFill>
          </w14:textFill>
        </w:rPr>
        <w:t>展</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港澳大湾区</w:t>
      </w:r>
      <w:r>
        <w:rPr>
          <w:rFonts w:hint="eastAsia" w:ascii="仿宋_GB2312" w:hAnsi="仿宋_GB2312" w:eastAsia="仿宋_GB2312" w:cs="仿宋_GB2312"/>
          <w:color w:val="000000" w:themeColor="text1"/>
          <w:kern w:val="0"/>
          <w:sz w:val="32"/>
          <w:szCs w:val="32"/>
          <w:highlight w:val="none"/>
          <w:lang w:val="zh-CN" w:bidi="ar"/>
          <w14:textFill>
            <w14:solidFill>
              <w14:schemeClr w14:val="tx1"/>
            </w14:solidFill>
          </w14:textFill>
        </w:rPr>
        <w:t>“菜篮子”产品追</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溯建设有关标准宣传活动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，提高企业主体和公众对追溯产品的认知度，进一步</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提升</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品的</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质量安全水平</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132" w:name="_Toc32486"/>
      <w:bookmarkStart w:id="133" w:name="_Toc8449"/>
      <w:bookmarkStart w:id="134" w:name="_Toc20944"/>
      <w:bookmarkStart w:id="135" w:name="_Toc12306"/>
      <w:bookmarkStart w:id="136" w:name="_Toc17630"/>
      <w:bookmarkStart w:id="137" w:name="_Toc15028"/>
      <w:bookmarkStart w:id="138" w:name="_Toc462"/>
      <w:bookmarkStart w:id="139" w:name="_Toc31139"/>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加强质量安全监管</w:t>
      </w:r>
      <w:bookmarkEnd w:id="132"/>
      <w:bookmarkEnd w:id="133"/>
      <w:bookmarkEnd w:id="134"/>
      <w:bookmarkEnd w:id="135"/>
      <w:bookmarkEnd w:id="136"/>
      <w:bookmarkEnd w:id="137"/>
      <w:bookmarkEnd w:id="138"/>
      <w:bookmarkEnd w:id="13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遵循</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“四个最严”</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要求，坚持源头治理、标本兼治，构建粤港澳大湾区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“菜篮子”产品“从农田到餐桌”</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全过程、全链条监管机制。强化粤港澳大湾区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菜篮子</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产品产地准出和市场准入衔接，对农产品在生产基地</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“逢出必检”和进入</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“菜篮子”平台“逢进必检”，</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实现检验全覆盖，质量安</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全“零容忍”。</w:t>
      </w:r>
      <w:r>
        <w:rPr>
          <w:rFonts w:hint="eastAsia" w:ascii="仿宋_GB2312" w:hAnsi="仿宋_GB2312" w:eastAsia="仿宋_GB2312" w:cs="仿宋_GB2312"/>
          <w:color w:val="000000" w:themeColor="text1"/>
          <w:kern w:val="0"/>
          <w:sz w:val="32"/>
          <w:szCs w:val="32"/>
          <w:highlight w:val="none"/>
          <w:lang w:val="zh-CN" w:bidi="ar"/>
          <w14:textFill>
            <w14:solidFill>
              <w14:schemeClr w14:val="tx1"/>
            </w14:solidFill>
          </w14:textFill>
        </w:rPr>
        <w:t>全面推行食用农产品承诺达标合格证制度，推动电子食用农产品承诺达标合格证等与溯源信息“多码合一”。</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编制项目预算</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委托有资质的</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机构开展质量安全监测，统筹</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属地</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抓好质量安全监管。完善粤港澳大湾区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“菜篮子”产品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质量安</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全</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监管信息运用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机制。对标粤港澳大湾区参与国际竞争的高标准、高要求，建立健全质量安全风险评估、监测预警和应急处置机制，巩固农产品质量安全创建成果。</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140" w:name="_Toc13079"/>
      <w:bookmarkStart w:id="141" w:name="_Toc14622"/>
      <w:bookmarkStart w:id="142" w:name="_Toc13824"/>
      <w:bookmarkStart w:id="143" w:name="_Toc23662"/>
      <w:bookmarkStart w:id="144" w:name="_Toc16838"/>
      <w:bookmarkStart w:id="145" w:name="_Toc10972"/>
      <w:bookmarkStart w:id="146" w:name="_Toc17195"/>
      <w:bookmarkStart w:id="147" w:name="_Toc6971"/>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四、</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建设质量安全</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发展</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新格局</w:t>
      </w:r>
      <w:bookmarkEnd w:id="140"/>
      <w:bookmarkEnd w:id="141"/>
      <w:bookmarkEnd w:id="142"/>
      <w:bookmarkEnd w:id="143"/>
      <w:bookmarkEnd w:id="144"/>
      <w:bookmarkEnd w:id="145"/>
      <w:bookmarkEnd w:id="146"/>
      <w:bookmarkEnd w:id="147"/>
    </w:p>
    <w:p>
      <w:pPr>
        <w:ind w:firstLine="640" w:firstLineChars="200"/>
        <w:rPr>
          <w:rFonts w:hint="default" w:ascii="Times New Roman" w:hAnsi="Times New Roman" w:eastAsia="仿宋_GB2312" w:cs="Times New Roman"/>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完善跨区域质量安全监管机制。落实好穗港、穗澳工作协调机制及城际联席会议机制，</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敦促各合作共建地市，落实属地管理责任，</w:t>
      </w:r>
      <w:r>
        <w:rPr>
          <w:rFonts w:hint="eastAsia" w:ascii="Times New Roman" w:hAnsi="Times New Roman" w:eastAsia="仿宋_GB2312"/>
          <w:color w:val="000000" w:themeColor="text1"/>
          <w:sz w:val="32"/>
          <w:szCs w:val="22"/>
          <w:highlight w:val="none"/>
          <w14:textFill>
            <w14:solidFill>
              <w14:schemeClr w14:val="tx1"/>
            </w14:solidFill>
          </w14:textFill>
        </w:rPr>
        <w:t>以更大力度抓好</w:t>
      </w:r>
      <w:r>
        <w:rPr>
          <w:rFonts w:hint="eastAsia" w:ascii="Times New Roman" w:hAnsi="Times New Roman" w:eastAsia="仿宋_GB2312"/>
          <w:color w:val="000000" w:themeColor="text1"/>
          <w:sz w:val="32"/>
          <w:szCs w:val="22"/>
          <w:highlight w:val="none"/>
          <w:lang w:eastAsia="zh-CN"/>
          <w14:textFill>
            <w14:solidFill>
              <w14:schemeClr w14:val="tx1"/>
            </w14:solidFill>
          </w14:textFill>
        </w:rPr>
        <w:t>粤港澳大湾区“菜篮子”产品</w:t>
      </w:r>
      <w:r>
        <w:rPr>
          <w:rFonts w:hint="eastAsia" w:ascii="Times New Roman" w:hAnsi="Times New Roman" w:eastAsia="仿宋_GB2312"/>
          <w:color w:val="000000" w:themeColor="text1"/>
          <w:sz w:val="32"/>
          <w:szCs w:val="22"/>
          <w:highlight w:val="none"/>
          <w14:textFill>
            <w14:solidFill>
              <w14:schemeClr w14:val="tx1"/>
            </w14:solidFill>
          </w14:textFill>
        </w:rPr>
        <w:t>质量安全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，把</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生</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产基地、</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产品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中心</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质量安全相关</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工作纳入日常</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监管</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，加强政府监督执法。</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维护规范市场秩序，建立退出机制。属地监管部门根据检查和</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产品质量安全</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检测结果，对违反供港澳农产品有关管理办法、粤港澳大湾区</w:t>
      </w:r>
      <w:r>
        <w:rPr>
          <w:rFonts w:hint="eastAsia" w:ascii="仿宋_GB2312" w:hAnsi="仿宋_GB2312" w:eastAsia="仿宋_GB2312" w:cs="仿宋_GB2312"/>
          <w:bCs w:val="0"/>
          <w:color w:val="000000" w:themeColor="text1"/>
          <w:kern w:val="0"/>
          <w:sz w:val="32"/>
          <w:szCs w:val="32"/>
          <w:highlight w:val="none"/>
          <w:lang w:val="zh-CN" w:bidi="ar"/>
          <w14:textFill>
            <w14:solidFill>
              <w14:schemeClr w14:val="tx1"/>
            </w14:solidFill>
          </w14:textFill>
        </w:rPr>
        <w:t>“菜篮子”</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有关规则，或产品出现质量安全问题、违反市场诚信原则的，取消其产品进入粤港澳大湾</w:t>
      </w:r>
      <w:r>
        <w:rPr>
          <w:rFonts w:hint="eastAsia" w:ascii="仿宋_GB2312" w:hAnsi="仿宋_GB2312" w:eastAsia="仿宋_GB2312" w:cs="仿宋_GB2312"/>
          <w:bCs w:val="0"/>
          <w:color w:val="000000" w:themeColor="text1"/>
          <w:kern w:val="0"/>
          <w:sz w:val="32"/>
          <w:szCs w:val="32"/>
          <w:highlight w:val="none"/>
          <w:lang w:val="zh-CN" w:bidi="ar"/>
          <w14:textFill>
            <w14:solidFill>
              <w14:schemeClr w14:val="tx1"/>
            </w14:solidFill>
          </w14:textFill>
        </w:rPr>
        <w:t>区“菜篮子”</w:t>
      </w:r>
      <w:r>
        <w:rPr>
          <w:rFonts w:hint="eastAsia" w:ascii="仿宋_GB2312" w:hAnsi="仿宋_GB2312" w:eastAsia="仿宋_GB2312" w:cs="仿宋_GB2312"/>
          <w:bCs w:val="0"/>
          <w:color w:val="000000" w:themeColor="text1"/>
          <w:kern w:val="0"/>
          <w:sz w:val="32"/>
          <w:szCs w:val="32"/>
          <w:highlight w:val="none"/>
          <w:lang w:val="en-US" w:eastAsia="zh-CN" w:bidi="ar"/>
          <w14:textFill>
            <w14:solidFill>
              <w14:schemeClr w14:val="tx1"/>
            </w14:solidFill>
          </w14:textFill>
        </w:rPr>
        <w:t>农产品质量安全溯源管理平台流通</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的资格。</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加强质量安全标准宣贯、推广实施，</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督促</w:t>
      </w:r>
      <w:r>
        <w:rPr>
          <w:rFonts w:hint="eastAsia" w:ascii="仿宋_GB2312" w:hAnsi="仿宋_GB2312" w:eastAsia="仿宋_GB2312" w:cs="仿宋_GB2312"/>
          <w:bCs w:val="0"/>
          <w:color w:val="000000" w:themeColor="text1"/>
          <w:kern w:val="0"/>
          <w:sz w:val="32"/>
          <w:szCs w:val="32"/>
          <w:highlight w:val="none"/>
          <w:lang w:val="zh-CN" w:eastAsia="zh-CN" w:bidi="ar"/>
          <w14:textFill>
            <w14:solidFill>
              <w14:schemeClr w14:val="tx1"/>
            </w14:solidFill>
          </w14:textFill>
        </w:rPr>
        <w:t>“菜篮子”生产基</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地</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落实</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质量</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安全主体责任</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严格</w:t>
      </w:r>
      <w:r>
        <w:rPr>
          <w:rFonts w:hint="eastAsia" w:ascii="Times New Roman" w:hAnsi="Times New Roman" w:eastAsia="仿宋_GB2312" w:cs="Times New Roman"/>
          <w:bCs/>
          <w:color w:val="000000" w:themeColor="text1"/>
          <w:sz w:val="32"/>
          <w:szCs w:val="32"/>
          <w:highlight w:val="none"/>
          <w:lang w:eastAsia="zh-CN"/>
          <w14:textFill>
            <w14:solidFill>
              <w14:schemeClr w14:val="tx1"/>
            </w14:solidFill>
          </w14:textFill>
        </w:rPr>
        <w:t>按照</w:t>
      </w:r>
      <w:r>
        <w:rPr>
          <w:rFonts w:hint="default" w:ascii="Times New Roman" w:hAnsi="Times New Roman" w:eastAsia="仿宋_GB2312"/>
          <w:color w:val="000000" w:themeColor="text1"/>
          <w:sz w:val="32"/>
          <w:szCs w:val="22"/>
          <w:highlight w:val="none"/>
          <w14:textFill>
            <w14:solidFill>
              <w14:schemeClr w14:val="tx1"/>
            </w14:solidFill>
          </w14:textFill>
        </w:rPr>
        <w:t>粤港澳大湾区</w:t>
      </w:r>
      <w:r>
        <w:rPr>
          <w:rFonts w:hint="eastAsia" w:ascii="Times New Roman" w:hAnsi="Times New Roman" w:eastAsia="仿宋_GB2312"/>
          <w:color w:val="000000" w:themeColor="text1"/>
          <w:sz w:val="32"/>
          <w:szCs w:val="22"/>
          <w:highlight w:val="none"/>
          <w:lang w:eastAsia="zh-CN"/>
          <w14:textFill>
            <w14:solidFill>
              <w14:schemeClr w14:val="tx1"/>
            </w14:solidFill>
          </w14:textFill>
        </w:rPr>
        <w:t>“</w:t>
      </w:r>
      <w:r>
        <w:rPr>
          <w:rFonts w:hint="default" w:ascii="Times New Roman" w:hAnsi="Times New Roman" w:eastAsia="仿宋_GB2312"/>
          <w:color w:val="000000" w:themeColor="text1"/>
          <w:sz w:val="32"/>
          <w:szCs w:val="22"/>
          <w:highlight w:val="none"/>
          <w14:textFill>
            <w14:solidFill>
              <w14:schemeClr w14:val="tx1"/>
            </w14:solidFill>
          </w14:textFill>
        </w:rPr>
        <w:t>菜篮子</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olor w:val="000000" w:themeColor="text1"/>
          <w:sz w:val="32"/>
          <w:szCs w:val="22"/>
          <w:highlight w:val="none"/>
          <w14:textFill>
            <w14:solidFill>
              <w14:schemeClr w14:val="tx1"/>
            </w14:solidFill>
          </w14:textFill>
        </w:rPr>
        <w:t>平台产品质量安全标准体系</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从事生产经营活动</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鼓励社会广泛参与</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加快形成政府部门协同监管、企业主体责任落实、行业诚信自律、社会公众监督的质量安全</w:t>
      </w:r>
      <w:r>
        <w:rPr>
          <w:rFonts w:hint="eastAsia" w:ascii="Times New Roman" w:hAnsi="Times New Roman" w:eastAsia="仿宋_GB2312" w:cs="Times New Roman"/>
          <w:bCs/>
          <w:color w:val="000000" w:themeColor="text1"/>
          <w:sz w:val="32"/>
          <w:szCs w:val="32"/>
          <w:highlight w:val="none"/>
          <w:lang w:eastAsia="zh-CN"/>
          <w14:textFill>
            <w14:solidFill>
              <w14:schemeClr w14:val="tx1"/>
            </w14:solidFill>
          </w14:textFill>
        </w:rPr>
        <w:t>发展</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格局</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w:t>
      </w:r>
    </w:p>
    <w:p>
      <w:pPr>
        <w:rPr>
          <w:rFonts w:hint="default"/>
          <w:color w:val="000000" w:themeColor="text1"/>
          <w:highlight w:val="none"/>
          <w14:textFill>
            <w14:solidFill>
              <w14:schemeClr w14:val="tx1"/>
            </w14:solidFill>
          </w14:textFill>
        </w:rPr>
        <w:sectPr>
          <w:pgSz w:w="11906" w:h="16838"/>
          <w:pgMar w:top="2098" w:right="1474" w:bottom="1984"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100" w:after="100" w:line="360" w:lineRule="auto"/>
        <w:jc w:val="center"/>
        <w:textAlignment w:val="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bookmarkStart w:id="148" w:name="_Toc23777"/>
      <w:bookmarkStart w:id="149" w:name="_Toc2938"/>
      <w:bookmarkStart w:id="150" w:name="_Toc12992"/>
      <w:bookmarkStart w:id="151" w:name="_Toc25647"/>
      <w:bookmarkStart w:id="152" w:name="_Toc31883"/>
      <w:bookmarkStart w:id="153" w:name="_Toc472"/>
      <w:bookmarkStart w:id="154" w:name="_Toc8386"/>
      <w:bookmarkStart w:id="155" w:name="_Toc12192"/>
      <w:bookmarkStart w:id="156" w:name="_Toc18132"/>
      <w:bookmarkStart w:id="157" w:name="_Toc6540"/>
      <w:bookmarkStart w:id="158" w:name="_Toc11024"/>
      <w:bookmarkStart w:id="159" w:name="_Toc9190"/>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第</w:t>
      </w:r>
      <w:r>
        <w:rPr>
          <w:rFonts w:hint="eastAsia"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四</w:t>
      </w: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章  科学布局 推进生产体系建设</w:t>
      </w:r>
      <w:bookmarkEnd w:id="148"/>
      <w:bookmarkEnd w:id="149"/>
      <w:bookmarkEnd w:id="150"/>
      <w:bookmarkEnd w:id="151"/>
      <w:bookmarkEnd w:id="152"/>
      <w:bookmarkEnd w:id="153"/>
      <w:bookmarkEnd w:id="154"/>
      <w:bookmarkEnd w:id="155"/>
      <w:bookmarkEnd w:id="156"/>
      <w:bookmarkEnd w:id="157"/>
      <w:bookmarkEnd w:id="158"/>
      <w:bookmarkEnd w:id="159"/>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围绕粤港澳大湾</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区“菜篮子”工</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程的新任务和新目标，立足各品类农产品特点和全国优势农产品区域资源禀赋，</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做强生产体系，</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在已认定粤港澳大湾</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区“菜篮子”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生产基地的基础上，聚焦</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九</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大类</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产品，进一步</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稳定</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基地数量，</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提升基地发展质量，</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平衡基地功能布局，加强基地监管，逐步满足粤港澳大湾区的优质农产品消费需求。</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160" w:name="_Toc10779"/>
      <w:bookmarkStart w:id="161" w:name="_Toc16937"/>
      <w:bookmarkStart w:id="162" w:name="_Toc26779"/>
      <w:bookmarkStart w:id="163" w:name="_Toc21762"/>
      <w:bookmarkStart w:id="164" w:name="_Toc13507"/>
      <w:bookmarkStart w:id="165" w:name="_Toc3646"/>
      <w:bookmarkStart w:id="166" w:name="_Toc13749"/>
      <w:bookmarkStart w:id="167" w:name="_Toc30926"/>
      <w:bookmarkStart w:id="168" w:name="_Toc20759"/>
      <w:bookmarkStart w:id="169" w:name="_Toc1535"/>
      <w:bookmarkStart w:id="170" w:name="_Toc1425"/>
      <w:bookmarkStart w:id="171" w:name="_Toc7076"/>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一、科学规划生产基地布局</w:t>
      </w:r>
      <w:bookmarkEnd w:id="160"/>
      <w:bookmarkEnd w:id="161"/>
      <w:bookmarkEnd w:id="162"/>
      <w:bookmarkEnd w:id="163"/>
      <w:bookmarkEnd w:id="164"/>
      <w:bookmarkEnd w:id="165"/>
      <w:bookmarkEnd w:id="166"/>
      <w:bookmarkEnd w:id="167"/>
      <w:bookmarkEnd w:id="168"/>
      <w:bookmarkEnd w:id="169"/>
      <w:bookmarkEnd w:id="170"/>
      <w:bookmarkEnd w:id="171"/>
    </w:p>
    <w:p>
      <w:pPr>
        <w:pStyle w:val="29"/>
        <w:spacing w:line="360" w:lineRule="auto"/>
        <w:ind w:firstLine="482"/>
        <w:outlineLvl w:val="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sectPr>
          <w:pgSz w:w="11906" w:h="16838"/>
          <w:pgMar w:top="2098" w:right="1474" w:bottom="1984"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（一）总体布局。</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立足全省、全国各地优势农产品发展和分布现状，综合考虑资源禀赋、合作基础等因素，科学规划粤港澳大湾区</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工程的生产基地布局，发挥区域比较优势，差异化发展粤港澳大湾区稳供核心圈、粤东西北大湾区周边保供核心圈、大湾区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菜篮子</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品种多样化全国保供圈等三大粤港澳大湾区</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稳供保供生产体系，实现粤港澳大湾区</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的稳供保供与带动乡村产业、经济社会发展相互协调的总体格局。</w:t>
      </w:r>
    </w:p>
    <w:p>
      <w:pPr>
        <w:pStyle w:val="29"/>
        <w:spacing w:line="360" w:lineRule="auto"/>
        <w:ind w:left="0" w:leftChars="0" w:firstLine="0" w:firstLineChars="0"/>
        <w:jc w:val="cente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drawing>
          <wp:inline distT="0" distB="0" distL="114300" distR="114300">
            <wp:extent cx="7409815" cy="4765040"/>
            <wp:effectExtent l="0" t="0" r="12065" b="5080"/>
            <wp:docPr id="11" name="图片 11" descr="图5 粤港澳大湾区“菜篮子”生产基地总体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5 粤港澳大湾区“菜篮子”生产基地总体布局"/>
                    <pic:cNvPicPr>
                      <a:picLocks noChangeAspect="1"/>
                    </pic:cNvPicPr>
                  </pic:nvPicPr>
                  <pic:blipFill>
                    <a:blip r:embed="rId8"/>
                    <a:stretch>
                      <a:fillRect/>
                    </a:stretch>
                  </pic:blipFill>
                  <pic:spPr>
                    <a:xfrm>
                      <a:off x="0" y="0"/>
                      <a:ext cx="7409815" cy="4765040"/>
                    </a:xfrm>
                    <a:prstGeom prst="rect">
                      <a:avLst/>
                    </a:prstGeom>
                  </pic:spPr>
                </pic:pic>
              </a:graphicData>
            </a:graphic>
          </wp:inline>
        </w:drawing>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图4-1 粤港澳大湾区“菜篮子”生产基地总体布局</w:t>
      </w:r>
    </w:p>
    <w:p>
      <w:pPr>
        <w:pStyle w:val="29"/>
        <w:spacing w:line="360" w:lineRule="auto"/>
        <w:ind w:firstLine="482"/>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1.粤港澳大湾区稳供核心圈</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区域范围：</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包括广州、深圳、珠海、佛山、惠州、东莞、中山、江门和肇庆九市，以广</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州“菜篮子”生产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基地、肇庆（怀集）粤港澳大湾区绿色农副产品集散基地、惠州粤港澳大湾区绿色农产品生产供应基地等为主要发展区域。</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发展方向：</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扩大生产基地认</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定</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数量和面积，</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力争广州市内符合《粤港澳大湾区“菜篮子”生产基地认定规程》的生产基地实现认定全覆盖</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；认定基地品类逐步多元化；拓展生产基地功能，鼓励生产基地延伸产业链，</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促进产业融合发展</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p>
    <w:p>
      <w:pPr>
        <w:pStyle w:val="29"/>
        <w:spacing w:line="360" w:lineRule="auto"/>
        <w:ind w:firstLine="482"/>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2.粤东西北大湾区周边保供核心圈</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区域范围：</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包括潮州、汕头、揭阳、汕尾、湛江、茂名、云浮、阳江、韶关、清远、河源、梅州十二市。</w:t>
      </w:r>
    </w:p>
    <w:p>
      <w:pPr>
        <w:pStyle w:val="29"/>
        <w:spacing w:line="360" w:lineRule="auto"/>
        <w:ind w:firstLine="482"/>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发展方向：</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加强与粤东西北各市农业农村</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行政</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主管部门的工作沟通，形成共建共管格局；加强培训和宣传，扩大基地认定数量和品类。</w:t>
      </w:r>
    </w:p>
    <w:p>
      <w:pPr>
        <w:pStyle w:val="29"/>
        <w:spacing w:line="360" w:lineRule="auto"/>
        <w:ind w:firstLine="482"/>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3.粤港澳大湾区“菜篮子”品种多样化全国保供圈</w:t>
      </w:r>
    </w:p>
    <w:p>
      <w:pPr>
        <w:pStyle w:val="29"/>
        <w:spacing w:line="360" w:lineRule="auto"/>
        <w:ind w:firstLine="482"/>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区域范围：全国农产品优势产区。</w:t>
      </w:r>
    </w:p>
    <w:p>
      <w:pPr>
        <w:pStyle w:val="29"/>
        <w:spacing w:line="360" w:lineRule="auto"/>
        <w:ind w:firstLine="482"/>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发展方向：</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以丰富粤港澳大湾区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菜篮子</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的品种品类为主要目标，加强与各省市农业农村</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行政</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主管部门的工作沟通，形成全国共建共管格局；加强培训和宣传，扩大基地认定数量和品类；加强质量安全监管和信息交流。</w:t>
      </w:r>
    </w:p>
    <w:p>
      <w:pPr>
        <w:pStyle w:val="29"/>
        <w:spacing w:line="360" w:lineRule="auto"/>
        <w:ind w:firstLine="482"/>
        <w:outlineLvl w:val="2"/>
        <w:rPr>
          <w:rFonts w:hint="default" w:ascii="Times New Roman" w:hAnsi="Times New Roman" w:eastAsia="仿宋_GB2312" w:cs="Times New Roman"/>
          <w:b w:val="0"/>
          <w:bCs w:val="0"/>
          <w:color w:val="000000" w:themeColor="text1"/>
          <w:kern w:val="0"/>
          <w:sz w:val="32"/>
          <w:szCs w:val="22"/>
          <w:highlight w:val="none"/>
          <w:u w:val="none"/>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z w:val="32"/>
          <w:szCs w:val="22"/>
          <w:highlight w:val="none"/>
          <w:lang w:val="en-US" w:eastAsia="zh-CN"/>
          <w14:textFill>
            <w14:solidFill>
              <w14:schemeClr w14:val="tx1"/>
            </w14:solidFill>
          </w14:textFill>
        </w:rPr>
        <w:t>（二）产品基地布局。</w:t>
      </w:r>
      <w:r>
        <w:rPr>
          <w:rFonts w:hint="default" w:ascii="Times New Roman" w:hAnsi="Times New Roman" w:eastAsia="仿宋_GB2312" w:cs="Times New Roman"/>
          <w:b w:val="0"/>
          <w:bCs w:val="0"/>
          <w:color w:val="000000" w:themeColor="text1"/>
          <w:kern w:val="0"/>
          <w:sz w:val="32"/>
          <w:szCs w:val="22"/>
          <w:highlight w:val="none"/>
          <w:lang w:val="en-US" w:eastAsia="zh-CN"/>
          <w14:textFill>
            <w14:solidFill>
              <w14:schemeClr w14:val="tx1"/>
            </w14:solidFill>
          </w14:textFill>
        </w:rPr>
        <w:t>综合考虑发展现状，依据2021年《中国农村统计年</w:t>
      </w:r>
      <w:r>
        <w:rPr>
          <w:rFonts w:hint="default" w:ascii="Times New Roman" w:hAnsi="Times New Roman" w:eastAsia="仿宋_GB2312" w:cs="Times New Roman"/>
          <w:b w:val="0"/>
          <w:bCs w:val="0"/>
          <w:color w:val="000000" w:themeColor="text1"/>
          <w:kern w:val="0"/>
          <w:sz w:val="32"/>
          <w:szCs w:val="22"/>
          <w:highlight w:val="none"/>
          <w:u w:val="none"/>
          <w:lang w:val="en-US" w:eastAsia="zh-CN"/>
          <w14:textFill>
            <w14:solidFill>
              <w14:schemeClr w14:val="tx1"/>
            </w14:solidFill>
          </w14:textFill>
        </w:rPr>
        <w:t>鉴》各类农产品产量前十名省份确定各产业生产基地全国重点发展区域；依据《</w:t>
      </w:r>
      <w:r>
        <w:rPr>
          <w:rFonts w:hint="default" w:ascii="Times New Roman" w:hAnsi="Times New Roman" w:eastAsia="仿宋_GB2312" w:cs="Times New Roman"/>
          <w:b w:val="0"/>
          <w:bCs w:val="0"/>
          <w:caps w:val="0"/>
          <w:color w:val="000000" w:themeColor="text1"/>
          <w:spacing w:val="0"/>
          <w:kern w:val="0"/>
          <w:sz w:val="32"/>
          <w:szCs w:val="22"/>
          <w:highlight w:val="none"/>
          <w:u w:val="none"/>
          <w:shd w:val="clear"/>
          <w14:textFill>
            <w14:solidFill>
              <w14:schemeClr w14:val="tx1"/>
            </w14:solidFill>
          </w14:textFill>
        </w:rPr>
        <w:fldChar w:fldCharType="begin"/>
      </w:r>
      <w:r>
        <w:rPr>
          <w:rFonts w:hint="default" w:ascii="Times New Roman" w:hAnsi="Times New Roman" w:eastAsia="仿宋_GB2312" w:cs="Times New Roman"/>
          <w:b w:val="0"/>
          <w:bCs w:val="0"/>
          <w:caps w:val="0"/>
          <w:color w:val="000000" w:themeColor="text1"/>
          <w:spacing w:val="0"/>
          <w:kern w:val="0"/>
          <w:sz w:val="32"/>
          <w:szCs w:val="22"/>
          <w:highlight w:val="none"/>
          <w:u w:val="none"/>
          <w:shd w:val="clear"/>
          <w14:textFill>
            <w14:solidFill>
              <w14:schemeClr w14:val="tx1"/>
            </w14:solidFill>
          </w14:textFill>
        </w:rPr>
        <w:instrText xml:space="preserve"> HYPERLINK "http://www.baidu.com/link?url=IMjFh4HpGB2vcp4OzgdyMdkntXK2Jj2sX_1mLoc8cuudz16GTiXBNlFVF6moQgI4QaRc66OQbSJ3-tQdOxn4FZJwV5SG-C4JY8m8bwX9Pg2aQJsN-vXCaeuULXC_vP-HVahFOIimvS5dvfQDCfso7NAWyf2iIdLQ8VLxFUDTW9WcDMTyej09jiWk5oZUOfA9v7-YDqYqrRvWj_q1JJ-qZRR5TYozUS3RH91FwsEK2_4mg0P90jhJxirnA8NaQIekKxJsrktbyfv2e5zT1TvsUOrQN_eDcqgcuo55lSaBMZXCAKVIxUBP16RSKmdbhlUo" \t "https://www.baidu.com/_blank" </w:instrText>
      </w:r>
      <w:r>
        <w:rPr>
          <w:rFonts w:hint="default" w:ascii="Times New Roman" w:hAnsi="Times New Roman" w:eastAsia="仿宋_GB2312" w:cs="Times New Roman"/>
          <w:b w:val="0"/>
          <w:bCs w:val="0"/>
          <w:caps w:val="0"/>
          <w:color w:val="000000" w:themeColor="text1"/>
          <w:spacing w:val="0"/>
          <w:kern w:val="0"/>
          <w:sz w:val="32"/>
          <w:szCs w:val="22"/>
          <w:highlight w:val="none"/>
          <w:u w:val="none"/>
          <w:shd w:val="clear"/>
          <w14:textFill>
            <w14:solidFill>
              <w14:schemeClr w14:val="tx1"/>
            </w14:solidFill>
          </w14:textFill>
        </w:rPr>
        <w:fldChar w:fldCharType="separate"/>
      </w:r>
      <w:r>
        <w:rPr>
          <w:rFonts w:hint="default" w:ascii="Times New Roman" w:hAnsi="Times New Roman" w:eastAsia="仿宋_GB2312" w:cs="Times New Roman"/>
          <w:b w:val="0"/>
          <w:bCs w:val="0"/>
          <w:i w:val="0"/>
          <w:iCs w:val="0"/>
          <w:caps w:val="0"/>
          <w:color w:val="000000" w:themeColor="text1"/>
          <w:spacing w:val="0"/>
          <w:kern w:val="0"/>
          <w:sz w:val="32"/>
          <w:szCs w:val="22"/>
          <w:highlight w:val="none"/>
          <w:u w:val="none"/>
          <w:shd w:val="clear"/>
          <w14:textFill>
            <w14:solidFill>
              <w14:schemeClr w14:val="tx1"/>
            </w14:solidFill>
          </w14:textFill>
        </w:rPr>
        <w:t>广东省</w:t>
      </w:r>
      <w:r>
        <w:rPr>
          <w:rFonts w:hint="default" w:ascii="Times New Roman" w:hAnsi="Times New Roman" w:eastAsia="仿宋_GB2312" w:cs="Times New Roman"/>
          <w:b w:val="0"/>
          <w:bCs w:val="0"/>
          <w:caps w:val="0"/>
          <w:color w:val="000000" w:themeColor="text1"/>
          <w:spacing w:val="0"/>
          <w:kern w:val="0"/>
          <w:sz w:val="32"/>
          <w:szCs w:val="22"/>
          <w:highlight w:val="none"/>
          <w:u w:val="none"/>
          <w:shd w:val="clear"/>
          <w14:textFill>
            <w14:solidFill>
              <w14:schemeClr w14:val="tx1"/>
            </w14:solidFill>
          </w14:textFill>
        </w:rPr>
        <w:t>推进农业农村现代</w:t>
      </w:r>
      <w:r>
        <w:rPr>
          <w:rFonts w:hint="eastAsia" w:ascii="仿宋_GB2312" w:hAnsi="仿宋_GB2312" w:eastAsia="仿宋_GB2312" w:cs="仿宋_GB2312"/>
          <w:b w:val="0"/>
          <w:bCs w:val="0"/>
          <w:caps w:val="0"/>
          <w:color w:val="000000" w:themeColor="text1"/>
          <w:spacing w:val="0"/>
          <w:kern w:val="0"/>
          <w:sz w:val="32"/>
          <w:szCs w:val="32"/>
          <w:highlight w:val="none"/>
          <w:u w:val="none"/>
          <w:shd w:val="clear"/>
          <w:lang w:val="zh-CN" w:bidi="ar"/>
          <w14:textFill>
            <w14:solidFill>
              <w14:schemeClr w14:val="tx1"/>
            </w14:solidFill>
          </w14:textFill>
        </w:rPr>
        <w:t>化“</w:t>
      </w:r>
      <w:r>
        <w:rPr>
          <w:rFonts w:hint="eastAsia" w:ascii="仿宋_GB2312" w:hAnsi="仿宋_GB2312" w:eastAsia="仿宋_GB2312" w:cs="仿宋_GB2312"/>
          <w:b w:val="0"/>
          <w:bCs w:val="0"/>
          <w:i w:val="0"/>
          <w:iCs w:val="0"/>
          <w:caps w:val="0"/>
          <w:color w:val="000000" w:themeColor="text1"/>
          <w:spacing w:val="0"/>
          <w:kern w:val="0"/>
          <w:sz w:val="32"/>
          <w:szCs w:val="32"/>
          <w:highlight w:val="none"/>
          <w:u w:val="none"/>
          <w:shd w:val="clear"/>
          <w:lang w:val="zh-CN" w:bidi="ar"/>
          <w14:textFill>
            <w14:solidFill>
              <w14:schemeClr w14:val="tx1"/>
            </w14:solidFill>
          </w14:textFill>
        </w:rPr>
        <w:t>十四五</w:t>
      </w:r>
      <w:r>
        <w:rPr>
          <w:rFonts w:hint="eastAsia" w:ascii="仿宋_GB2312" w:hAnsi="仿宋_GB2312" w:eastAsia="仿宋_GB2312" w:cs="仿宋_GB2312"/>
          <w:b w:val="0"/>
          <w:bCs w:val="0"/>
          <w:caps w:val="0"/>
          <w:color w:val="000000" w:themeColor="text1"/>
          <w:spacing w:val="0"/>
          <w:kern w:val="0"/>
          <w:sz w:val="32"/>
          <w:szCs w:val="32"/>
          <w:highlight w:val="none"/>
          <w:u w:val="none"/>
          <w:shd w:val="clear"/>
          <w:lang w:val="zh-CN" w:bidi="ar"/>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kern w:val="0"/>
          <w:sz w:val="32"/>
          <w:szCs w:val="22"/>
          <w:highlight w:val="none"/>
          <w:u w:val="none"/>
          <w:shd w:val="clear"/>
          <w14:textFill>
            <w14:solidFill>
              <w14:schemeClr w14:val="tx1"/>
            </w14:solidFill>
          </w14:textFill>
        </w:rPr>
        <w:t>规划</w:t>
      </w:r>
      <w:r>
        <w:rPr>
          <w:rFonts w:hint="default" w:ascii="Times New Roman" w:hAnsi="Times New Roman" w:eastAsia="仿宋_GB2312" w:cs="Times New Roman"/>
          <w:b w:val="0"/>
          <w:bCs w:val="0"/>
          <w:caps w:val="0"/>
          <w:color w:val="000000" w:themeColor="text1"/>
          <w:spacing w:val="0"/>
          <w:kern w:val="0"/>
          <w:sz w:val="32"/>
          <w:szCs w:val="22"/>
          <w:highlight w:val="none"/>
          <w:u w:val="none"/>
          <w:shd w:val="clear"/>
          <w14:textFill>
            <w14:solidFill>
              <w14:schemeClr w14:val="tx1"/>
            </w14:solidFill>
          </w14:textFill>
        </w:rPr>
        <w:fldChar w:fldCharType="end"/>
      </w:r>
      <w:r>
        <w:rPr>
          <w:rFonts w:hint="default" w:ascii="Times New Roman" w:hAnsi="Times New Roman" w:eastAsia="仿宋_GB2312" w:cs="Times New Roman"/>
          <w:b w:val="0"/>
          <w:bCs w:val="0"/>
          <w:color w:val="000000" w:themeColor="text1"/>
          <w:kern w:val="0"/>
          <w:sz w:val="32"/>
          <w:szCs w:val="22"/>
          <w:highlight w:val="none"/>
          <w:u w:val="none"/>
          <w:lang w:val="en-US" w:eastAsia="zh-CN"/>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kern w:val="0"/>
          <w:sz w:val="32"/>
          <w:szCs w:val="22"/>
          <w:highlight w:val="none"/>
          <w:u w:val="none"/>
          <w:shd w:val="clear"/>
          <w14:textFill>
            <w14:solidFill>
              <w14:schemeClr w14:val="tx1"/>
            </w14:solidFill>
          </w14:textFill>
        </w:rPr>
        <w:t>广东省</w:t>
      </w:r>
      <w:r>
        <w:rPr>
          <w:rFonts w:hint="default" w:ascii="Times New Roman" w:hAnsi="Times New Roman" w:eastAsia="仿宋_GB2312" w:cs="Times New Roman"/>
          <w:b w:val="0"/>
          <w:bCs w:val="0"/>
          <w:i w:val="0"/>
          <w:iCs w:val="0"/>
          <w:caps w:val="0"/>
          <w:color w:val="000000" w:themeColor="text1"/>
          <w:spacing w:val="0"/>
          <w:kern w:val="0"/>
          <w:sz w:val="32"/>
          <w:szCs w:val="22"/>
          <w:highlight w:val="none"/>
          <w:u w:val="none"/>
          <w:shd w:val="clear"/>
          <w:lang w:val="en-US" w:eastAsia="zh-CN"/>
          <w14:textFill>
            <w14:solidFill>
              <w14:schemeClr w14:val="tx1"/>
            </w14:solidFill>
          </w14:textFill>
        </w:rPr>
        <w:t>种植</w:t>
      </w:r>
      <w:r>
        <w:rPr>
          <w:rFonts w:hint="eastAsia" w:ascii="仿宋_GB2312" w:hAnsi="仿宋_GB2312" w:eastAsia="仿宋_GB2312" w:cs="仿宋_GB2312"/>
          <w:b w:val="0"/>
          <w:bCs w:val="0"/>
          <w:i w:val="0"/>
          <w:iCs w:val="0"/>
          <w:caps w:val="0"/>
          <w:color w:val="000000" w:themeColor="text1"/>
          <w:spacing w:val="0"/>
          <w:kern w:val="0"/>
          <w:sz w:val="32"/>
          <w:szCs w:val="32"/>
          <w:highlight w:val="none"/>
          <w:u w:val="none"/>
          <w:shd w:val="clear"/>
          <w:lang w:val="zh-CN" w:eastAsia="zh-CN" w:bidi="ar"/>
          <w14:textFill>
            <w14:solidFill>
              <w14:schemeClr w14:val="tx1"/>
            </w14:solidFill>
          </w14:textFill>
        </w:rPr>
        <w:t>业</w:t>
      </w:r>
      <w:r>
        <w:rPr>
          <w:rFonts w:hint="eastAsia" w:ascii="仿宋_GB2312" w:hAnsi="仿宋_GB2312" w:eastAsia="仿宋_GB2312" w:cs="仿宋_GB2312"/>
          <w:b w:val="0"/>
          <w:bCs w:val="0"/>
          <w:caps w:val="0"/>
          <w:color w:val="000000" w:themeColor="text1"/>
          <w:spacing w:val="0"/>
          <w:kern w:val="0"/>
          <w:sz w:val="32"/>
          <w:szCs w:val="32"/>
          <w:highlight w:val="none"/>
          <w:u w:val="none"/>
          <w:shd w:val="clear"/>
          <w:lang w:val="zh-CN" w:bidi="ar"/>
          <w14:textFill>
            <w14:solidFill>
              <w14:schemeClr w14:val="tx1"/>
            </w14:solidFill>
          </w14:textFill>
        </w:rPr>
        <w:t>“</w:t>
      </w:r>
      <w:r>
        <w:rPr>
          <w:rFonts w:hint="eastAsia" w:ascii="仿宋_GB2312" w:hAnsi="仿宋_GB2312" w:eastAsia="仿宋_GB2312" w:cs="仿宋_GB2312"/>
          <w:b w:val="0"/>
          <w:bCs w:val="0"/>
          <w:i w:val="0"/>
          <w:iCs w:val="0"/>
          <w:caps w:val="0"/>
          <w:color w:val="000000" w:themeColor="text1"/>
          <w:spacing w:val="0"/>
          <w:kern w:val="0"/>
          <w:sz w:val="32"/>
          <w:szCs w:val="32"/>
          <w:highlight w:val="none"/>
          <w:u w:val="none"/>
          <w:shd w:val="clear"/>
          <w:lang w:val="zh-CN" w:bidi="ar"/>
          <w14:textFill>
            <w14:solidFill>
              <w14:schemeClr w14:val="tx1"/>
            </w14:solidFill>
          </w14:textFill>
        </w:rPr>
        <w:t>十四五</w:t>
      </w:r>
      <w:r>
        <w:rPr>
          <w:rFonts w:hint="eastAsia" w:ascii="仿宋_GB2312" w:hAnsi="仿宋_GB2312" w:eastAsia="仿宋_GB2312" w:cs="仿宋_GB2312"/>
          <w:b w:val="0"/>
          <w:bCs w:val="0"/>
          <w:caps w:val="0"/>
          <w:color w:val="000000" w:themeColor="text1"/>
          <w:spacing w:val="0"/>
          <w:kern w:val="0"/>
          <w:sz w:val="32"/>
          <w:szCs w:val="32"/>
          <w:highlight w:val="none"/>
          <w:u w:val="none"/>
          <w:shd w:val="clear"/>
          <w:lang w:val="zh-CN" w:bidi="ar"/>
          <w14:textFill>
            <w14:solidFill>
              <w14:schemeClr w14:val="tx1"/>
            </w14:solidFill>
          </w14:textFill>
        </w:rPr>
        <w:t>”</w:t>
      </w:r>
      <w:r>
        <w:rPr>
          <w:rFonts w:hint="default" w:ascii="Times New Roman" w:hAnsi="Times New Roman" w:eastAsia="仿宋_GB2312" w:cs="Times New Roman"/>
          <w:b w:val="0"/>
          <w:bCs w:val="0"/>
          <w:i w:val="0"/>
          <w:iCs w:val="0"/>
          <w:caps w:val="0"/>
          <w:color w:val="000000" w:themeColor="text1"/>
          <w:spacing w:val="0"/>
          <w:kern w:val="0"/>
          <w:sz w:val="32"/>
          <w:szCs w:val="22"/>
          <w:highlight w:val="none"/>
          <w:u w:val="none"/>
          <w:shd w:val="clear"/>
          <w14:textFill>
            <w14:solidFill>
              <w14:schemeClr w14:val="tx1"/>
            </w14:solidFill>
          </w14:textFill>
        </w:rPr>
        <w:t>规划</w:t>
      </w:r>
      <w:r>
        <w:rPr>
          <w:rFonts w:hint="default" w:ascii="Times New Roman" w:hAnsi="Times New Roman" w:eastAsia="仿宋_GB2312" w:cs="Times New Roman"/>
          <w:b w:val="0"/>
          <w:bCs w:val="0"/>
          <w:color w:val="000000" w:themeColor="text1"/>
          <w:kern w:val="0"/>
          <w:sz w:val="32"/>
          <w:szCs w:val="22"/>
          <w:highlight w:val="none"/>
          <w:u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22"/>
          <w:highlight w:val="none"/>
          <w:u w:val="none"/>
          <w14:textFill>
            <w14:solidFill>
              <w14:schemeClr w14:val="tx1"/>
            </w14:solidFill>
          </w14:textFill>
        </w:rPr>
        <w:t>广东省现代畜牧业发</w:t>
      </w:r>
      <w:r>
        <w:rPr>
          <w:rFonts w:hint="eastAsia" w:ascii="仿宋_GB2312" w:hAnsi="仿宋_GB2312" w:eastAsia="仿宋_GB2312" w:cs="仿宋_GB2312"/>
          <w:b w:val="0"/>
          <w:bCs w:val="0"/>
          <w:color w:val="000000" w:themeColor="text1"/>
          <w:kern w:val="0"/>
          <w:sz w:val="32"/>
          <w:szCs w:val="32"/>
          <w:highlight w:val="none"/>
          <w:u w:val="none"/>
          <w:lang w:val="zh-CN" w:bidi="ar"/>
          <w14:textFill>
            <w14:solidFill>
              <w14:schemeClr w14:val="tx1"/>
            </w14:solidFill>
          </w14:textFill>
        </w:rPr>
        <w:t>展</w:t>
      </w:r>
      <w:r>
        <w:rPr>
          <w:rFonts w:hint="eastAsia" w:ascii="仿宋_GB2312" w:hAnsi="仿宋_GB2312" w:eastAsia="仿宋_GB2312" w:cs="仿宋_GB2312"/>
          <w:b w:val="0"/>
          <w:bCs w:val="0"/>
          <w:color w:val="000000" w:themeColor="text1"/>
          <w:kern w:val="0"/>
          <w:sz w:val="32"/>
          <w:szCs w:val="32"/>
          <w:highlight w:val="none"/>
          <w:u w:val="none"/>
          <w:lang w:val="zh-CN" w:eastAsia="zh-CN"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u w:val="none"/>
          <w:lang w:val="zh-CN" w:bidi="ar"/>
          <w14:textFill>
            <w14:solidFill>
              <w14:schemeClr w14:val="tx1"/>
            </w14:solidFill>
          </w14:textFill>
        </w:rPr>
        <w:t>十四五</w:t>
      </w:r>
      <w:r>
        <w:rPr>
          <w:rFonts w:hint="eastAsia" w:ascii="仿宋_GB2312" w:hAnsi="仿宋_GB2312" w:eastAsia="仿宋_GB2312" w:cs="仿宋_GB2312"/>
          <w:b w:val="0"/>
          <w:bCs w:val="0"/>
          <w:color w:val="000000" w:themeColor="text1"/>
          <w:kern w:val="0"/>
          <w:sz w:val="32"/>
          <w:szCs w:val="32"/>
          <w:highlight w:val="none"/>
          <w:u w:val="none"/>
          <w:lang w:val="zh-CN" w:eastAsia="zh-CN"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u w:val="none"/>
          <w:lang w:val="zh-CN" w:bidi="ar"/>
          <w14:textFill>
            <w14:solidFill>
              <w14:schemeClr w14:val="tx1"/>
            </w14:solidFill>
          </w14:textFill>
        </w:rPr>
        <w:t>规</w:t>
      </w:r>
      <w:r>
        <w:rPr>
          <w:rFonts w:hint="default" w:ascii="Times New Roman" w:hAnsi="Times New Roman" w:eastAsia="仿宋_GB2312" w:cs="Times New Roman"/>
          <w:b w:val="0"/>
          <w:bCs w:val="0"/>
          <w:color w:val="000000" w:themeColor="text1"/>
          <w:kern w:val="0"/>
          <w:sz w:val="32"/>
          <w:szCs w:val="22"/>
          <w:highlight w:val="none"/>
          <w:u w:val="none"/>
          <w14:textFill>
            <w14:solidFill>
              <w14:schemeClr w14:val="tx1"/>
            </w14:solidFill>
          </w14:textFill>
        </w:rPr>
        <w:t>划</w:t>
      </w:r>
      <w:r>
        <w:rPr>
          <w:rFonts w:hint="default" w:ascii="Times New Roman" w:hAnsi="Times New Roman" w:eastAsia="仿宋_GB2312" w:cs="Times New Roman"/>
          <w:b w:val="0"/>
          <w:bCs w:val="0"/>
          <w:color w:val="000000" w:themeColor="text1"/>
          <w:kern w:val="0"/>
          <w:sz w:val="32"/>
          <w:szCs w:val="22"/>
          <w:highlight w:val="none"/>
          <w:u w:val="none"/>
          <w:lang w:val="en-US" w:eastAsia="zh-CN"/>
          <w14:textFill>
            <w14:solidFill>
              <w14:schemeClr w14:val="tx1"/>
            </w14:solidFill>
          </w14:textFill>
        </w:rPr>
        <w:t>》确定各产业生产基地广东省重点发展区域，统筹布局蔬菜、水果、猪肉、禽肉、牛羊肉、水产品、禽蛋、奶类、蜂产品等九</w:t>
      </w:r>
      <w:r>
        <w:rPr>
          <w:rFonts w:hint="eastAsia" w:ascii="仿宋_GB2312" w:hAnsi="仿宋_GB2312" w:eastAsia="仿宋_GB2312" w:cs="仿宋_GB2312"/>
          <w:b w:val="0"/>
          <w:bCs w:val="0"/>
          <w:color w:val="000000" w:themeColor="text1"/>
          <w:kern w:val="0"/>
          <w:sz w:val="32"/>
          <w:szCs w:val="32"/>
          <w:highlight w:val="none"/>
          <w:u w:val="none"/>
          <w:lang w:val="zh-CN" w:eastAsia="zh-CN" w:bidi="ar"/>
          <w14:textFill>
            <w14:solidFill>
              <w14:schemeClr w14:val="tx1"/>
            </w14:solidFill>
          </w14:textFill>
        </w:rPr>
        <w:t>大类</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港澳大湾区</w:t>
      </w:r>
      <w:r>
        <w:rPr>
          <w:rFonts w:hint="eastAsia" w:ascii="仿宋_GB2312" w:hAnsi="仿宋_GB2312" w:eastAsia="仿宋_GB2312" w:cs="仿宋_GB2312"/>
          <w:b w:val="0"/>
          <w:bCs w:val="0"/>
          <w:color w:val="000000" w:themeColor="text1"/>
          <w:kern w:val="0"/>
          <w:sz w:val="32"/>
          <w:szCs w:val="32"/>
          <w:highlight w:val="none"/>
          <w:u w:val="none"/>
          <w:lang w:val="zh-CN" w:eastAsia="zh-CN" w:bidi="ar"/>
          <w14:textFill>
            <w14:solidFill>
              <w14:schemeClr w14:val="tx1"/>
            </w14:solidFill>
          </w14:textFill>
        </w:rPr>
        <w:t>“菜篮子”产</w:t>
      </w:r>
      <w:r>
        <w:rPr>
          <w:rFonts w:hint="default" w:ascii="Times New Roman" w:hAnsi="Times New Roman" w:eastAsia="仿宋_GB2312" w:cs="Times New Roman"/>
          <w:b w:val="0"/>
          <w:bCs w:val="0"/>
          <w:color w:val="000000" w:themeColor="text1"/>
          <w:kern w:val="0"/>
          <w:sz w:val="32"/>
          <w:szCs w:val="22"/>
          <w:highlight w:val="none"/>
          <w:u w:val="none"/>
          <w:lang w:val="en-US" w:eastAsia="zh-CN"/>
          <w14:textFill>
            <w14:solidFill>
              <w14:schemeClr w14:val="tx1"/>
            </w14:solidFill>
          </w14:textFill>
        </w:rPr>
        <w:t>品生产基地</w:t>
      </w:r>
      <w:r>
        <w:rPr>
          <w:rFonts w:hint="eastAsia" w:ascii="Times New Roman" w:hAnsi="Times New Roman" w:eastAsia="仿宋_GB2312" w:cs="Times New Roman"/>
          <w:b w:val="0"/>
          <w:bCs w:val="0"/>
          <w:color w:val="000000" w:themeColor="text1"/>
          <w:kern w:val="0"/>
          <w:sz w:val="32"/>
          <w:szCs w:val="22"/>
          <w:highlight w:val="none"/>
          <w:u w:val="none"/>
          <w:lang w:val="en-US" w:eastAsia="zh-CN"/>
          <w14:textFill>
            <w14:solidFill>
              <w14:schemeClr w14:val="tx1"/>
            </w14:solidFill>
          </w14:textFill>
        </w:rPr>
        <w:t>，具体见图4-2至图4-10</w:t>
      </w:r>
      <w:r>
        <w:rPr>
          <w:rFonts w:hint="default" w:ascii="Times New Roman" w:hAnsi="Times New Roman" w:eastAsia="仿宋_GB2312" w:cs="Times New Roman"/>
          <w:b w:val="0"/>
          <w:bCs w:val="0"/>
          <w:color w:val="000000" w:themeColor="text1"/>
          <w:kern w:val="0"/>
          <w:sz w:val="32"/>
          <w:szCs w:val="22"/>
          <w:highlight w:val="none"/>
          <w:u w:val="none"/>
          <w:lang w:val="en-US" w:eastAsia="zh-CN"/>
          <w14:textFill>
            <w14:solidFill>
              <w14:schemeClr w14:val="tx1"/>
            </w14:solidFill>
          </w14:textFill>
        </w:rPr>
        <w:t>。</w:t>
      </w:r>
    </w:p>
    <w:p>
      <w:pPr>
        <w:pStyle w:val="29"/>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1.蔬菜生产基地</w:t>
      </w:r>
    </w:p>
    <w:p>
      <w:pPr>
        <w:pStyle w:val="29"/>
        <w:spacing w:line="360" w:lineRule="auto"/>
        <w:ind w:firstLine="482"/>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蔬菜是关系民生的重</w:t>
      </w:r>
      <w:r>
        <w:rPr>
          <w:rFonts w:hint="eastAsia" w:ascii="仿宋_GB2312" w:hAnsi="仿宋_GB2312" w:eastAsia="仿宋_GB2312" w:cs="仿宋_GB2312"/>
          <w:color w:val="000000" w:themeColor="text1"/>
          <w:sz w:val="32"/>
          <w:szCs w:val="22"/>
          <w:highlight w:val="none"/>
          <w:u w:val="none"/>
          <w:lang w:val="en-US" w:eastAsia="zh-CN"/>
          <w14:textFill>
            <w14:solidFill>
              <w14:schemeClr w14:val="tx1"/>
            </w14:solidFill>
          </w14:textFill>
        </w:rPr>
        <w:t>要“菜篮子”</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产品。截至202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年，已认定粤港澳大湾区</w:t>
      </w:r>
      <w:r>
        <w:rPr>
          <w:rFonts w:hint="eastAsia" w:ascii="仿宋_GB2312" w:hAnsi="仿宋_GB2312" w:eastAsia="仿宋_GB2312" w:cs="仿宋_GB2312"/>
          <w:color w:val="000000" w:themeColor="text1"/>
          <w:sz w:val="32"/>
          <w:szCs w:val="22"/>
          <w:highlight w:val="none"/>
          <w:u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蔬菜生产基地</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900多</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个。今后五年，根据全国主要蔬菜产区的上市季节，</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省内广州、惠州等地市，以及湖南、山东、贵州</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12个省份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重点发展区域，逐步</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形成</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均衡供应</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粤港澳大湾区</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蔬菜生产</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基本保持</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粤港澳大湾</w:t>
      </w:r>
      <w:r>
        <w:rPr>
          <w:rFonts w:hint="eastAsia" w:ascii="仿宋_GB2312" w:hAnsi="仿宋_GB2312" w:eastAsia="仿宋_GB2312" w:cs="仿宋_GB2312"/>
          <w:color w:val="000000" w:themeColor="text1"/>
          <w:sz w:val="32"/>
          <w:szCs w:val="22"/>
          <w:highlight w:val="none"/>
          <w:u w:val="none"/>
          <w:lang w:val="en-US" w:eastAsia="zh-CN"/>
          <w14:textFill>
            <w14:solidFill>
              <w14:schemeClr w14:val="tx1"/>
            </w14:solidFill>
          </w14:textFill>
        </w:rPr>
        <w:t>区“菜篮子”</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蔬菜生产基地</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1200</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个</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左右</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w:t>
      </w:r>
    </w:p>
    <w:p>
      <w:pPr>
        <w:pStyle w:val="29"/>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2.水果生产基地</w:t>
      </w:r>
    </w:p>
    <w:p>
      <w:pPr>
        <w:pStyle w:val="29"/>
        <w:spacing w:line="360" w:lineRule="auto"/>
        <w:ind w:firstLine="482"/>
        <w:outlineLvl w:val="9"/>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水果是改善居民膳食结构的重要农产品。截至2022年，已认定粤港澳大湾区</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菜篮子</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水果</w:t>
      </w:r>
      <w:r>
        <w:rPr>
          <w:rFonts w:hint="default"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生</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产基地4</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00多</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个。今后五年，根据全国主要水果产区的上市季节，</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省内广州、茂名等地市，以及广西、山东</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10个省份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重点发展区域，统筹</w:t>
      </w:r>
      <w:r>
        <w:rPr>
          <w:rFonts w:ascii="Times New Roman" w:hAnsi="Times New Roman" w:eastAsia="仿宋_GB2312" w:cs="Times New Roman"/>
          <w:i w:val="0"/>
          <w:iCs w:val="0"/>
          <w:caps w:val="0"/>
          <w:color w:val="000000" w:themeColor="text1"/>
          <w:spacing w:val="0"/>
          <w:sz w:val="32"/>
          <w:szCs w:val="22"/>
          <w:highlight w:val="none"/>
          <w:u w:val="none"/>
          <w14:textFill>
            <w14:solidFill>
              <w14:schemeClr w14:val="tx1"/>
            </w14:solidFill>
          </w14:textFill>
        </w:rPr>
        <w:t>瓜果类</w:t>
      </w:r>
      <w:r>
        <w:rPr>
          <w:rFonts w:hint="default"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、浆果类、柑橘类、</w:t>
      </w:r>
      <w:r>
        <w:rPr>
          <w:rFonts w:ascii="Times New Roman" w:hAnsi="Times New Roman" w:eastAsia="仿宋_GB2312" w:cs="Times New Roman"/>
          <w:i w:val="0"/>
          <w:iCs w:val="0"/>
          <w:caps w:val="0"/>
          <w:color w:val="000000" w:themeColor="text1"/>
          <w:spacing w:val="0"/>
          <w:sz w:val="32"/>
          <w:szCs w:val="22"/>
          <w:highlight w:val="none"/>
          <w:u w:val="none"/>
          <w14:textFill>
            <w14:solidFill>
              <w14:schemeClr w14:val="tx1"/>
            </w14:solidFill>
          </w14:textFill>
        </w:rPr>
        <w:t>核果</w:t>
      </w:r>
      <w:r>
        <w:rPr>
          <w:rFonts w:hint="default"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类水果基地认定，</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优化水果</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生产</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基本保持粤港澳大湾区</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“菜篮子”</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水果生产基地在550个左右。</w:t>
      </w:r>
    </w:p>
    <w:p>
      <w:pPr>
        <w:pStyle w:val="29"/>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3.猪肉生产基地</w:t>
      </w:r>
    </w:p>
    <w:p>
      <w:pPr>
        <w:pStyle w:val="29"/>
        <w:spacing w:line="360" w:lineRule="auto"/>
        <w:ind w:firstLine="482"/>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pPr>
      <w:r>
        <w:rPr>
          <w:rStyle w:val="20"/>
          <w:rFonts w:hint="default" w:ascii="Times New Roman" w:hAnsi="Times New Roman" w:eastAsia="仿宋_GB2312" w:cs="Times New Roman"/>
          <w:i w:val="0"/>
          <w:iCs w:val="0"/>
          <w:caps w:val="0"/>
          <w:color w:val="000000" w:themeColor="text1"/>
          <w:spacing w:val="0"/>
          <w:sz w:val="32"/>
          <w:szCs w:val="22"/>
          <w:highlight w:val="none"/>
          <w:u w:val="none"/>
          <w:shd w:val="clear" w:fill="FFFFFF"/>
          <w14:textFill>
            <w14:solidFill>
              <w14:schemeClr w14:val="tx1"/>
            </w14:solidFill>
          </w14:textFill>
        </w:rPr>
        <w:t>猪肉是最为常见的肉食，</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在居民</w:t>
      </w:r>
      <w:r>
        <w:rPr>
          <w:rStyle w:val="20"/>
          <w:rFonts w:hint="default" w:ascii="Times New Roman" w:hAnsi="Times New Roman" w:eastAsia="仿宋_GB2312" w:cs="Times New Roman"/>
          <w:i w:val="0"/>
          <w:iCs w:val="0"/>
          <w:caps w:val="0"/>
          <w:color w:val="000000" w:themeColor="text1"/>
          <w:spacing w:val="0"/>
          <w:sz w:val="32"/>
          <w:szCs w:val="22"/>
          <w:highlight w:val="none"/>
          <w:u w:val="none"/>
          <w:shd w:val="clear" w:fill="FFFFFF"/>
          <w14:textFill>
            <w14:solidFill>
              <w14:schemeClr w14:val="tx1"/>
            </w14:solidFill>
          </w14:textFill>
        </w:rPr>
        <w:t>食品中</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占有举足轻重</w:t>
      </w:r>
      <w:r>
        <w:rPr>
          <w:rStyle w:val="20"/>
          <w:rFonts w:hint="default" w:ascii="Times New Roman" w:hAnsi="Times New Roman" w:eastAsia="仿宋_GB2312" w:cs="Times New Roman"/>
          <w:i w:val="0"/>
          <w:iCs w:val="0"/>
          <w:caps w:val="0"/>
          <w:color w:val="000000" w:themeColor="text1"/>
          <w:spacing w:val="0"/>
          <w:sz w:val="32"/>
          <w:szCs w:val="22"/>
          <w:highlight w:val="none"/>
          <w:u w:val="none"/>
          <w:shd w:val="clear" w:fill="FFFFFF"/>
          <w14:textFill>
            <w14:solidFill>
              <w14:schemeClr w14:val="tx1"/>
            </w14:solidFill>
          </w14:textFill>
        </w:rPr>
        <w:t>的地位</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。截至202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年，已认定粤港澳大湾区</w:t>
      </w:r>
      <w:r>
        <w:rPr>
          <w:rFonts w:hint="eastAsia" w:ascii="仿宋_GB2312" w:hAnsi="仿宋_GB2312" w:eastAsia="仿宋_GB2312" w:cs="仿宋_GB2312"/>
          <w:color w:val="000000" w:themeColor="text1"/>
          <w:sz w:val="32"/>
          <w:szCs w:val="32"/>
          <w:highlight w:val="none"/>
          <w:u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猪肉生产基地</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100多</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个。</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省内韶关、江门、茂名等地市，以及湖南</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、湖北</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10个省份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重点发展区域，拓展生产基地数量、优化猪肉</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生产</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2022—2026年，基本保持粤港澳大湾区</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“菜篮子”</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猪肉</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生</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产基地200个左右。</w:t>
      </w:r>
    </w:p>
    <w:p>
      <w:pPr>
        <w:pStyle w:val="29"/>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4.禽肉生产基地</w:t>
      </w:r>
    </w:p>
    <w:p>
      <w:pPr>
        <w:pStyle w:val="29"/>
        <w:spacing w:line="360" w:lineRule="auto"/>
        <w:ind w:firstLine="482"/>
        <w:rPr>
          <w:rFonts w:hint="eastAsia"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pPr>
      <w:r>
        <w:rPr>
          <w:rStyle w:val="20"/>
          <w:rFonts w:hint="default" w:ascii="Times New Roman" w:hAnsi="Times New Roman" w:eastAsia="仿宋_GB2312" w:cs="Times New Roman"/>
          <w:i w:val="0"/>
          <w:iCs w:val="0"/>
          <w:caps w:val="0"/>
          <w:color w:val="000000" w:themeColor="text1"/>
          <w:spacing w:val="0"/>
          <w:sz w:val="32"/>
          <w:szCs w:val="22"/>
          <w:highlight w:val="none"/>
          <w:u w:val="none"/>
          <w:shd w:val="clear" w:fill="FFFFFF"/>
          <w14:textFill>
            <w14:solidFill>
              <w14:schemeClr w14:val="tx1"/>
            </w14:solidFill>
          </w14:textFill>
        </w:rPr>
        <w:t>禽肉是我国第二大肉类消费品</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。截至202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年，已认定</w:t>
      </w:r>
      <w:r>
        <w:rPr>
          <w:rFonts w:hint="default"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kern w:val="0"/>
          <w:sz w:val="32"/>
          <w:szCs w:val="32"/>
          <w:highlight w:val="none"/>
          <w:u w:val="none"/>
          <w:lang w:val="zh-CN" w:eastAsia="zh-CN" w:bidi="ar"/>
          <w14:textFill>
            <w14:solidFill>
              <w14:schemeClr w14:val="tx1"/>
            </w14:solidFill>
          </w14:textFill>
        </w:rPr>
        <w:t>“菜篮子”</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禽肉</w:t>
      </w:r>
      <w:r>
        <w:rPr>
          <w:rFonts w:hint="default"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生产基地</w:t>
      </w:r>
      <w:r>
        <w:rPr>
          <w:rFonts w:hint="eastAsia"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100多</w:t>
      </w:r>
      <w:r>
        <w:rPr>
          <w:rFonts w:hint="default"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个。今后五年，</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省内梅州、惠州、江门等地市，以及山东、安徽</w:t>
      </w:r>
      <w:r>
        <w:rPr>
          <w:rFonts w:hint="eastAsia"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、福建</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10个省份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重点发展区域，优化</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禽肉</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生产</w:t>
      </w:r>
      <w:r>
        <w:rPr>
          <w:rFonts w:hint="default"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基本保持</w:t>
      </w:r>
      <w:r>
        <w:rPr>
          <w:rFonts w:hint="eastAsia"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粤港澳大湾区</w:t>
      </w:r>
      <w:r>
        <w:rPr>
          <w:rFonts w:hint="eastAsia" w:ascii="Times New Roman" w:hAnsi="Times New Roman" w:eastAsia="仿宋_GB2312" w:cs="Times New Roman"/>
          <w:color w:val="000000" w:themeColor="text1"/>
          <w:kern w:val="0"/>
          <w:sz w:val="32"/>
          <w:szCs w:val="22"/>
          <w:highlight w:val="none"/>
          <w:u w:val="none"/>
          <w:lang w:val="en-US" w:eastAsia="zh-CN" w:bidi="ar"/>
          <w14:textFill>
            <w14:solidFill>
              <w14:schemeClr w14:val="tx1"/>
            </w14:solidFill>
          </w14:textFill>
        </w:rPr>
        <w:t>“菜篮子”</w:t>
      </w:r>
      <w:r>
        <w:rPr>
          <w:rFonts w:hint="eastAsia"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禽肉</w:t>
      </w:r>
      <w:r>
        <w:rPr>
          <w:rFonts w:hint="eastAsia"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生产基地120个</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左右</w:t>
      </w:r>
      <w:r>
        <w:rPr>
          <w:rFonts w:hint="eastAsia" w:ascii="Times New Roman" w:hAnsi="Times New Roman" w:eastAsia="仿宋_GB2312" w:cs="Times New Roman"/>
          <w:color w:val="000000" w:themeColor="text1"/>
          <w:kern w:val="0"/>
          <w:sz w:val="32"/>
          <w:szCs w:val="22"/>
          <w:highlight w:val="none"/>
          <w:u w:val="none"/>
          <w:lang w:val="en-US" w:eastAsia="zh-CN"/>
          <w14:textFill>
            <w14:solidFill>
              <w14:schemeClr w14:val="tx1"/>
            </w14:solidFill>
          </w14:textFill>
        </w:rPr>
        <w:t>。</w:t>
      </w:r>
    </w:p>
    <w:p>
      <w:pPr>
        <w:pStyle w:val="29"/>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5.牛羊肉生产基地</w:t>
      </w:r>
    </w:p>
    <w:p>
      <w:pPr>
        <w:pStyle w:val="29"/>
        <w:spacing w:line="360" w:lineRule="auto"/>
        <w:ind w:firstLine="482"/>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pPr>
      <w:r>
        <w:rPr>
          <w:rStyle w:val="20"/>
          <w:rFonts w:hint="default" w:ascii="Times New Roman" w:hAnsi="Times New Roman" w:eastAsia="仿宋_GB2312" w:cs="Times New Roman"/>
          <w:i w:val="0"/>
          <w:iCs w:val="0"/>
          <w:caps w:val="0"/>
          <w:color w:val="000000" w:themeColor="text1"/>
          <w:spacing w:val="0"/>
          <w:sz w:val="32"/>
          <w:szCs w:val="22"/>
          <w:highlight w:val="none"/>
          <w:u w:val="none"/>
          <w:shd w:val="clear" w:fill="FFFFFF"/>
          <w14:textFill>
            <w14:solidFill>
              <w14:schemeClr w14:val="tx1"/>
            </w14:solidFill>
          </w14:textFill>
        </w:rPr>
        <w:t>牛羊肉</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eastAsia="zh-CN"/>
          <w14:textFill>
            <w14:solidFill>
              <w14:schemeClr w14:val="tx1"/>
            </w14:solidFill>
          </w14:textFill>
        </w:rPr>
        <w:t>是</w:t>
      </w:r>
      <w:r>
        <w:rPr>
          <w:rStyle w:val="20"/>
          <w:rFonts w:hint="default" w:ascii="Times New Roman" w:hAnsi="Times New Roman" w:eastAsia="仿宋_GB2312" w:cs="Times New Roman"/>
          <w:i w:val="0"/>
          <w:iCs w:val="0"/>
          <w:caps w:val="0"/>
          <w:color w:val="000000" w:themeColor="text1"/>
          <w:spacing w:val="0"/>
          <w:sz w:val="32"/>
          <w:szCs w:val="22"/>
          <w:highlight w:val="none"/>
          <w:u w:val="none"/>
          <w:shd w:val="clear" w:fill="FFFFFF"/>
          <w14:textFill>
            <w14:solidFill>
              <w14:schemeClr w14:val="tx1"/>
            </w14:solidFill>
          </w14:textFill>
        </w:rPr>
        <w:t>我国居民膳食消费的重要组成</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部分</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。截至</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年，已认定粤港澳大湾区</w:t>
      </w:r>
      <w:r>
        <w:rPr>
          <w:rFonts w:hint="eastAsia" w:ascii="仿宋_GB2312" w:hAnsi="仿宋_GB2312" w:eastAsia="仿宋_GB2312" w:cs="仿宋_GB2312"/>
          <w:color w:val="000000" w:themeColor="text1"/>
          <w:sz w:val="32"/>
          <w:szCs w:val="32"/>
          <w:highlight w:val="none"/>
          <w:u w:val="none"/>
          <w:lang w:val="zh-CN" w:eastAsia="zh-CN" w:bidi="ar"/>
          <w14:textFill>
            <w14:solidFill>
              <w14:schemeClr w14:val="tx1"/>
            </w14:solidFill>
          </w14:textFill>
        </w:rPr>
        <w:t>“菜篮子”</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牛羊肉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近20</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个。今后五年，</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省内</w:t>
      </w:r>
      <w:r>
        <w:rPr>
          <w:rFonts w:hint="default" w:ascii="Times New Roman" w:hAnsi="Times New Roman" w:eastAsia="仿宋_GB2312" w:cs="Times New Roman"/>
          <w:color w:val="000000" w:themeColor="text1"/>
          <w:sz w:val="32"/>
          <w:szCs w:val="22"/>
          <w:highlight w:val="none"/>
          <w:u w:val="none"/>
          <w:lang w:eastAsia="zh-CN"/>
          <w14:textFill>
            <w14:solidFill>
              <w14:schemeClr w14:val="tx1"/>
            </w14:solidFill>
          </w14:textFill>
        </w:rPr>
        <w:t>肇庆、清远、云浮</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等地市，以及</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内蒙古</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、山东</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、云南</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10个省份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重点发展区域，拓展生产基地数量、优化</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牛羊</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肉</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生产</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基本保持粤港澳大湾区</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“菜篮子”</w:t>
      </w:r>
      <w:r>
        <w:rPr>
          <w:rFonts w:hint="eastAsia"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牛羊</w:t>
      </w:r>
      <w:r>
        <w:rPr>
          <w:rFonts w:hint="eastAsia"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肉</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生产基地40个左右。</w:t>
      </w:r>
    </w:p>
    <w:p>
      <w:pPr>
        <w:pStyle w:val="29"/>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6.水产品生产基地</w:t>
      </w:r>
    </w:p>
    <w:p>
      <w:pPr>
        <w:pStyle w:val="29"/>
        <w:spacing w:line="360" w:lineRule="auto"/>
        <w:ind w:firstLine="482"/>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水产品是重要</w:t>
      </w:r>
      <w:r>
        <w:rPr>
          <w:rFonts w:hint="eastAsia" w:ascii="仿宋_GB2312" w:hAnsi="仿宋_GB2312" w:eastAsia="仿宋_GB2312" w:cs="仿宋_GB2312"/>
          <w:i w:val="0"/>
          <w:iCs w:val="0"/>
          <w:caps w:val="0"/>
          <w:color w:val="000000" w:themeColor="text1"/>
          <w:spacing w:val="0"/>
          <w:sz w:val="32"/>
          <w:szCs w:val="32"/>
          <w:highlight w:val="none"/>
          <w:u w:val="none"/>
          <w:shd w:val="clear"/>
          <w:lang w:val="zh-CN" w:bidi="ar"/>
          <w14:textFill>
            <w14:solidFill>
              <w14:schemeClr w14:val="tx1"/>
            </w14:solidFill>
          </w14:textFill>
        </w:rPr>
        <w:t>的</w:t>
      </w:r>
      <w:r>
        <w:rPr>
          <w:rFonts w:hint="eastAsia" w:ascii="仿宋_GB2312" w:hAnsi="仿宋_GB2312" w:eastAsia="仿宋_GB2312" w:cs="仿宋_GB2312"/>
          <w:i w:val="0"/>
          <w:iCs w:val="0"/>
          <w:caps w:val="0"/>
          <w:color w:val="000000" w:themeColor="text1"/>
          <w:spacing w:val="0"/>
          <w:sz w:val="32"/>
          <w:szCs w:val="32"/>
          <w:highlight w:val="none"/>
          <w:u w:val="none"/>
          <w:shd w:val="clear"/>
          <w:lang w:val="zh-CN" w:eastAsia="zh-CN" w:bidi="ar"/>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u w:val="none"/>
          <w:shd w:val="clear"/>
          <w:lang w:val="zh-CN" w:bidi="ar"/>
          <w14:textFill>
            <w14:solidFill>
              <w14:schemeClr w14:val="tx1"/>
            </w14:solidFill>
          </w14:textFill>
        </w:rPr>
        <w:t>菜篮子</w:t>
      </w:r>
      <w:r>
        <w:rPr>
          <w:rFonts w:hint="eastAsia" w:ascii="仿宋_GB2312" w:hAnsi="仿宋_GB2312" w:eastAsia="仿宋_GB2312" w:cs="仿宋_GB2312"/>
          <w:i w:val="0"/>
          <w:iCs w:val="0"/>
          <w:caps w:val="0"/>
          <w:color w:val="000000" w:themeColor="text1"/>
          <w:spacing w:val="0"/>
          <w:sz w:val="32"/>
          <w:szCs w:val="32"/>
          <w:highlight w:val="none"/>
          <w:u w:val="none"/>
          <w:shd w:val="clear"/>
          <w:lang w:val="zh-CN" w:eastAsia="zh-CN" w:bidi="ar"/>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u w:val="none"/>
          <w:shd w:val="clear"/>
          <w:lang w:val="zh-CN" w:bidi="ar"/>
          <w14:textFill>
            <w14:solidFill>
              <w14:schemeClr w14:val="tx1"/>
            </w14:solidFill>
          </w14:textFill>
        </w:rPr>
        <w:t>产</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品，在大食物结构中占有十分重要的地位。</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截至202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年，已认定粤港澳大湾区</w:t>
      </w:r>
      <w:r>
        <w:rPr>
          <w:rFonts w:hint="eastAsia" w:ascii="仿宋_GB2312" w:hAnsi="仿宋_GB2312" w:eastAsia="仿宋_GB2312" w:cs="仿宋_GB2312"/>
          <w:color w:val="000000" w:themeColor="text1"/>
          <w:sz w:val="32"/>
          <w:szCs w:val="32"/>
          <w:highlight w:val="none"/>
          <w:u w:val="none"/>
          <w:lang w:val="zh-CN" w:eastAsia="zh-CN" w:bidi="ar"/>
          <w14:textFill>
            <w14:solidFill>
              <w14:schemeClr w14:val="tx1"/>
            </w14:solidFill>
          </w14:textFill>
        </w:rPr>
        <w:t>“菜篮子”</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水产品</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150多</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个。今后五年，</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省内广州、佛山</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、江门</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、茂名、湛江等地市，以及山东、广西</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、福建</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10个省份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重点发展区域，拓展生产基地数量、优化</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水产品</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生产</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基本保持粤港澳大湾区</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“菜篮子”</w:t>
      </w:r>
      <w:r>
        <w:rPr>
          <w:rFonts w:hint="eastAsia"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水产品</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生产基地160个左右。</w:t>
      </w:r>
    </w:p>
    <w:p>
      <w:pPr>
        <w:pStyle w:val="29"/>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7.禽蛋生产基地</w:t>
      </w:r>
    </w:p>
    <w:p>
      <w:pPr>
        <w:pStyle w:val="29"/>
        <w:spacing w:line="360" w:lineRule="auto"/>
        <w:ind w:firstLine="482"/>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禽蛋是我国居民</w:t>
      </w:r>
      <w:r>
        <w:rPr>
          <w:rFonts w:hint="eastAsia" w:ascii="仿宋_GB2312" w:hAnsi="仿宋_GB2312" w:eastAsia="仿宋_GB2312" w:cs="仿宋_GB2312"/>
          <w:i w:val="0"/>
          <w:iCs w:val="0"/>
          <w:caps w:val="0"/>
          <w:color w:val="000000" w:themeColor="text1"/>
          <w:spacing w:val="0"/>
          <w:sz w:val="32"/>
          <w:szCs w:val="32"/>
          <w:highlight w:val="none"/>
          <w:u w:val="none"/>
          <w:shd w:val="clear"/>
          <w:lang w:val="zh-CN" w:bidi="ar"/>
          <w14:textFill>
            <w14:solidFill>
              <w14:schemeClr w14:val="tx1"/>
            </w14:solidFill>
          </w14:textFill>
        </w:rPr>
        <w:t>“菜篮子”</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中每天必需的重要生活品</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。截至</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年，已认定粤港澳大湾区</w:t>
      </w:r>
      <w:r>
        <w:rPr>
          <w:rFonts w:hint="eastAsia" w:ascii="仿宋_GB2312" w:hAnsi="仿宋_GB2312" w:eastAsia="仿宋_GB2312" w:cs="仿宋_GB2312"/>
          <w:color w:val="000000" w:themeColor="text1"/>
          <w:sz w:val="32"/>
          <w:szCs w:val="32"/>
          <w:highlight w:val="none"/>
          <w:u w:val="none"/>
          <w:lang w:val="zh-CN" w:eastAsia="zh-CN" w:bidi="ar"/>
          <w14:textFill>
            <w14:solidFill>
              <w14:schemeClr w14:val="tx1"/>
            </w14:solidFill>
          </w14:textFill>
        </w:rPr>
        <w:t>“菜篮子”</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禽蛋</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80余</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个。今后五年，</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省内江门、茂名等地市，以及山东、河南</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10个省份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重点发展区域，拓展生产基地数量、优化</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禽蛋</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生产</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基本保持粤港澳大湾区</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“菜篮子”</w:t>
      </w:r>
      <w:r>
        <w:rPr>
          <w:rFonts w:hint="eastAsia"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禽蛋</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生产基地130个左右。</w:t>
      </w:r>
    </w:p>
    <w:p>
      <w:pPr>
        <w:pStyle w:val="29"/>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8.奶类生产基地</w:t>
      </w:r>
    </w:p>
    <w:p>
      <w:pPr>
        <w:pStyle w:val="29"/>
        <w:spacing w:line="360" w:lineRule="auto"/>
        <w:ind w:firstLine="482"/>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奶类是人们</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健康饮食的</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重要组成部分</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。截至</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年，已认定粤港澳大湾区</w:t>
      </w:r>
      <w:r>
        <w:rPr>
          <w:rFonts w:hint="eastAsia" w:ascii="仿宋_GB2312" w:hAnsi="仿宋_GB2312" w:eastAsia="仿宋_GB2312" w:cs="仿宋_GB2312"/>
          <w:color w:val="000000" w:themeColor="text1"/>
          <w:sz w:val="32"/>
          <w:szCs w:val="32"/>
          <w:highlight w:val="none"/>
          <w:u w:val="none"/>
          <w:lang w:val="zh-CN" w:eastAsia="zh-CN" w:bidi="ar"/>
          <w14:textFill>
            <w14:solidFill>
              <w14:schemeClr w14:val="tx1"/>
            </w14:solidFill>
          </w14:textFill>
        </w:rPr>
        <w:t>“菜篮子”</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奶类</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生产基地6个。今后五年，</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省内</w:t>
      </w:r>
      <w:r>
        <w:rPr>
          <w:rFonts w:hint="default" w:ascii="Times New Roman" w:hAnsi="Times New Roman" w:eastAsia="仿宋_GB2312" w:cs="Times New Roman"/>
          <w:color w:val="000000" w:themeColor="text1"/>
          <w:sz w:val="32"/>
          <w:szCs w:val="22"/>
          <w:highlight w:val="none"/>
          <w:u w:val="none"/>
          <w:lang w:eastAsia="zh-CN"/>
          <w14:textFill>
            <w14:solidFill>
              <w14:schemeClr w14:val="tx1"/>
            </w14:solidFill>
          </w14:textFill>
        </w:rPr>
        <w:t>梅州、湛江</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等地市，以及内蒙古、黑龙江</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10个省份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重点发展区域，拓展生产基地数量、优化</w:t>
      </w:r>
      <w:r>
        <w:rPr>
          <w:rFonts w:hint="default"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奶类</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生产</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基本保持粤港澳大湾区</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“菜</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篮子</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u w:val="none"/>
          <w:shd w:val="clear"/>
          <w:lang w:val="en-US" w:eastAsia="zh-CN"/>
          <w14:textFill>
            <w14:solidFill>
              <w14:schemeClr w14:val="tx1"/>
            </w14:solidFill>
          </w14:textFill>
        </w:rPr>
        <w:t>奶类</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生</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产基地5个左右。</w:t>
      </w:r>
    </w:p>
    <w:p>
      <w:pPr>
        <w:pStyle w:val="29"/>
        <w:tabs>
          <w:tab w:val="center" w:pos="4479"/>
        </w:tabs>
        <w:spacing w:line="360" w:lineRule="auto"/>
        <w:ind w:firstLine="482"/>
        <w:outlineLvl w:val="9"/>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22"/>
          <w:highlight w:val="none"/>
          <w:u w:val="none"/>
          <w:lang w:val="en-US" w:eastAsia="zh-CN" w:bidi="ar"/>
          <w14:textFill>
            <w14:solidFill>
              <w14:schemeClr w14:val="tx1"/>
            </w14:solidFill>
          </w14:textFill>
        </w:rPr>
        <w:t>9.蜂产品生产基地</w:t>
      </w:r>
    </w:p>
    <w:p>
      <w:pPr>
        <w:pStyle w:val="29"/>
        <w:spacing w:line="360" w:lineRule="auto"/>
        <w:ind w:firstLine="482"/>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pP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蜂产品是天然的保健食品。</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截至</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年，已认定粤港澳大湾区</w:t>
      </w:r>
      <w:r>
        <w:rPr>
          <w:rFonts w:hint="eastAsia" w:ascii="仿宋_GB2312" w:hAnsi="仿宋_GB2312" w:eastAsia="仿宋_GB2312" w:cs="仿宋_GB2312"/>
          <w:color w:val="000000" w:themeColor="text1"/>
          <w:sz w:val="32"/>
          <w:szCs w:val="32"/>
          <w:highlight w:val="none"/>
          <w:u w:val="none"/>
          <w:lang w:val="zh-CN" w:eastAsia="zh-CN" w:bidi="ar"/>
          <w14:textFill>
            <w14:solidFill>
              <w14:schemeClr w14:val="tx1"/>
            </w14:solidFill>
          </w14:textFill>
        </w:rPr>
        <w:t>“菜篮子”</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蜂产品</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生产基地9个。今后五年，</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以</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省内</w:t>
      </w:r>
      <w:r>
        <w:rPr>
          <w:rFonts w:hint="default" w:ascii="Times New Roman" w:hAnsi="Times New Roman" w:eastAsia="仿宋_GB2312" w:cs="Times New Roman"/>
          <w:b w:val="0"/>
          <w:bCs w:val="0"/>
          <w:color w:val="000000" w:themeColor="text1"/>
          <w:sz w:val="32"/>
          <w:szCs w:val="22"/>
          <w:highlight w:val="none"/>
          <w:u w:val="none"/>
          <w:lang w:eastAsia="zh-CN"/>
          <w14:textFill>
            <w14:solidFill>
              <w14:schemeClr w14:val="tx1"/>
            </w14:solidFill>
          </w14:textFill>
        </w:rPr>
        <w:t>广州、韶关</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等地市，以及广西、四川</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、福建</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等</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10个省份</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为</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重点发展区域，拓展生产基地数量、优化</w:t>
      </w:r>
      <w:r>
        <w:rPr>
          <w:rFonts w:hint="default"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蜂产品</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生产</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u w:val="none"/>
          <w14:textFill>
            <w14:solidFill>
              <w14:schemeClr w14:val="tx1"/>
            </w14:solidFill>
          </w14:textFill>
        </w:rPr>
        <w:t>格局。</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2022—</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202</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年，</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基本保持粤港澳大湾区</w:t>
      </w:r>
      <w:r>
        <w:rPr>
          <w:rFonts w:hint="eastAsia" w:ascii="Times New Roman" w:hAnsi="Times New Roman" w:eastAsia="仿宋_GB2312" w:cs="Times New Roman"/>
          <w:color w:val="000000" w:themeColor="text1"/>
          <w:sz w:val="32"/>
          <w:szCs w:val="22"/>
          <w:highlight w:val="none"/>
          <w:u w:val="none"/>
          <w:lang w:val="en-US" w:eastAsia="zh-CN" w:bidi="ar"/>
          <w14:textFill>
            <w14:solidFill>
              <w14:schemeClr w14:val="tx1"/>
            </w14:solidFill>
          </w14:textFill>
        </w:rPr>
        <w:t>“菜篮子”</w:t>
      </w:r>
      <w:r>
        <w:rPr>
          <w:rFonts w:hint="eastAsia" w:ascii="Times New Roman" w:hAnsi="Times New Roman" w:eastAsia="仿宋_GB2312" w:cs="Times New Roman"/>
          <w:i w:val="0"/>
          <w:iCs w:val="0"/>
          <w:caps w:val="0"/>
          <w:color w:val="000000" w:themeColor="text1"/>
          <w:spacing w:val="0"/>
          <w:sz w:val="32"/>
          <w:szCs w:val="22"/>
          <w:highlight w:val="none"/>
          <w:u w:val="none"/>
          <w:shd w:val="clear"/>
          <w14:textFill>
            <w14:solidFill>
              <w14:schemeClr w14:val="tx1"/>
            </w14:solidFill>
          </w14:textFill>
        </w:rPr>
        <w:t>蜂产品</w:t>
      </w:r>
      <w:r>
        <w:rPr>
          <w:rFonts w:hint="eastAsia" w:ascii="Times New Roman" w:hAnsi="Times New Roman" w:eastAsia="仿宋_GB2312" w:cs="Times New Roman"/>
          <w:color w:val="000000" w:themeColor="text1"/>
          <w:sz w:val="32"/>
          <w:szCs w:val="22"/>
          <w:highlight w:val="none"/>
          <w:u w:val="none"/>
          <w:lang w:val="en-US" w:eastAsia="zh-CN"/>
          <w14:textFill>
            <w14:solidFill>
              <w14:schemeClr w14:val="tx1"/>
            </w14:solidFill>
          </w14:textFill>
        </w:rPr>
        <w:t>生产基地10个左右。</w:t>
      </w:r>
    </w:p>
    <w:p>
      <w:pPr>
        <w:pStyle w:val="29"/>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Times New Roman" w:hAnsi="Times New Roman" w:eastAsia="仿宋_GB2312" w:cs="Times New Roman"/>
          <w:b w:val="0"/>
          <w:bCs w:val="0"/>
          <w:color w:val="FF0000"/>
          <w:sz w:val="32"/>
          <w:szCs w:val="22"/>
          <w:highlight w:val="none"/>
          <w:u w:val="none"/>
          <w:lang w:val="en-US" w:eastAsia="zh-CN"/>
        </w:rPr>
        <w:sectPr>
          <w:pgSz w:w="11906" w:h="16838"/>
          <w:pgMar w:top="2098" w:right="1474" w:bottom="1984"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72" w:name="_Toc7997"/>
      <w:bookmarkStart w:id="173" w:name="_Toc11248"/>
      <w:bookmarkStart w:id="174" w:name="_Toc24842"/>
      <w:bookmarkStart w:id="175" w:name="_Toc32696"/>
      <w:bookmarkStart w:id="176" w:name="_Toc27690"/>
      <w:bookmarkStart w:id="177" w:name="_Toc13538"/>
      <w:bookmarkStart w:id="178" w:name="_Toc3681"/>
      <w:bookmarkStart w:id="179" w:name="_Toc19096"/>
      <w:bookmarkStart w:id="180" w:name="_Toc19383"/>
      <w:bookmarkStart w:id="181" w:name="_Toc2816"/>
      <w:bookmarkStart w:id="182" w:name="_Toc32264"/>
    </w:p>
    <w:p>
      <w:pPr>
        <w:pStyle w:val="29"/>
        <w:spacing w:line="360" w:lineRule="auto"/>
        <w:ind w:left="0" w:leftChars="0" w:firstLine="0"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drawing>
          <wp:inline distT="0" distB="0" distL="114300" distR="114300">
            <wp:extent cx="7112000" cy="4432300"/>
            <wp:effectExtent l="0" t="0" r="12700" b="6350"/>
            <wp:docPr id="7" name="图片 7" descr="图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4-2"/>
                    <pic:cNvPicPr>
                      <a:picLocks noChangeAspect="1"/>
                    </pic:cNvPicPr>
                  </pic:nvPicPr>
                  <pic:blipFill>
                    <a:blip r:embed="rId9"/>
                    <a:srcRect b="6522"/>
                    <a:stretch>
                      <a:fillRect/>
                    </a:stretch>
                  </pic:blipFill>
                  <pic:spPr>
                    <a:xfrm>
                      <a:off x="0" y="0"/>
                      <a:ext cx="7112000" cy="4432300"/>
                    </a:xfrm>
                    <a:prstGeom prst="rect">
                      <a:avLst/>
                    </a:prstGeom>
                  </pic:spPr>
                </pic:pic>
              </a:graphicData>
            </a:graphic>
          </wp:inline>
        </w:drawing>
      </w:r>
    </w:p>
    <w:p>
      <w:pPr>
        <w:pStyle w:val="29"/>
        <w:spacing w:line="360" w:lineRule="auto"/>
        <w:ind w:left="0" w:leftChars="0" w:firstLine="0"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图4-2 粤港澳大湾区“菜篮子”蔬菜生产基地规划布局图</w:t>
      </w:r>
    </w:p>
    <w:p>
      <w:pPr>
        <w:pStyle w:val="29"/>
        <w:spacing w:line="360" w:lineRule="auto"/>
        <w:ind w:left="0" w:leftChars="0" w:firstLine="482" w:firstLineChars="0"/>
        <w:jc w:val="center"/>
        <w:rPr>
          <w:rFonts w:hint="default" w:ascii="Times New Roman" w:hAnsi="Times New Roman" w:eastAsia="仿宋_GB2312" w:cs="Times New Roman"/>
          <w:b w:val="0"/>
          <w:bCs w:val="0"/>
          <w:color w:val="000000" w:themeColor="text1"/>
          <w:sz w:val="32"/>
          <w:szCs w:val="22"/>
          <w:highlight w:val="none"/>
          <w:u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22"/>
          <w:highlight w:val="none"/>
          <w:u w:val="none"/>
          <w:lang w:val="en-US" w:eastAsia="zh-CN"/>
          <w14:textFill>
            <w14:solidFill>
              <w14:schemeClr w14:val="tx1"/>
            </w14:solidFill>
          </w14:textFill>
        </w:rPr>
        <w:drawing>
          <wp:inline distT="0" distB="0" distL="114300" distR="114300">
            <wp:extent cx="7872730" cy="4601210"/>
            <wp:effectExtent l="0" t="0" r="13970" b="8890"/>
            <wp:docPr id="40" name="图片 40" descr="图 5-3 粤港澳大湾区“菜篮子”水果生产基地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 5-3 粤港澳大湾区“菜篮子”水果生产基地规划布局图"/>
                    <pic:cNvPicPr>
                      <a:picLocks noChangeAspect="1"/>
                    </pic:cNvPicPr>
                  </pic:nvPicPr>
                  <pic:blipFill>
                    <a:blip r:embed="rId10"/>
                    <a:srcRect b="12340"/>
                    <a:stretch>
                      <a:fillRect/>
                    </a:stretch>
                  </pic:blipFill>
                  <pic:spPr>
                    <a:xfrm>
                      <a:off x="0" y="0"/>
                      <a:ext cx="7872730" cy="4601210"/>
                    </a:xfrm>
                    <a:prstGeom prst="rect">
                      <a:avLst/>
                    </a:prstGeom>
                  </pic:spPr>
                </pic:pic>
              </a:graphicData>
            </a:graphic>
          </wp:inline>
        </w:drawing>
      </w:r>
    </w:p>
    <w:p>
      <w:pPr>
        <w:pStyle w:val="29"/>
        <w:spacing w:line="360" w:lineRule="auto"/>
        <w:ind w:left="0" w:leftChars="0" w:firstLine="482" w:firstLineChars="0"/>
        <w:jc w:val="center"/>
        <w:rPr>
          <w:rFonts w:hint="default" w:ascii="Times New Roman" w:hAnsi="Times New Roman" w:eastAsia="仿宋_GB2312" w:cs="Times New Roman"/>
          <w:b w:val="0"/>
          <w:bCs w:val="0"/>
          <w:color w:val="000000" w:themeColor="text1"/>
          <w:sz w:val="32"/>
          <w:szCs w:val="22"/>
          <w:highlight w:val="none"/>
          <w:u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图4-3 粤港澳大湾区“菜篮子”水果生产基地规划布局图</w:t>
      </w:r>
    </w:p>
    <w:p>
      <w:pPr>
        <w:pStyle w:val="29"/>
        <w:spacing w:line="360" w:lineRule="auto"/>
        <w:ind w:left="0" w:leftChars="0" w:firstLine="0"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drawing>
          <wp:inline distT="0" distB="0" distL="114300" distR="114300">
            <wp:extent cx="7872730" cy="4616450"/>
            <wp:effectExtent l="0" t="0" r="13970" b="12700"/>
            <wp:docPr id="41" name="图片 41" descr="图 5-4 粤港澳大湾区“菜篮子”猪肉生产基地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 5-4 粤港澳大湾区“菜篮子”猪肉生产基地规划布局图"/>
                    <pic:cNvPicPr>
                      <a:picLocks noChangeAspect="1"/>
                    </pic:cNvPicPr>
                  </pic:nvPicPr>
                  <pic:blipFill>
                    <a:blip r:embed="rId11"/>
                    <a:srcRect b="12049"/>
                    <a:stretch>
                      <a:fillRect/>
                    </a:stretch>
                  </pic:blipFill>
                  <pic:spPr>
                    <a:xfrm>
                      <a:off x="0" y="0"/>
                      <a:ext cx="7872730" cy="4616450"/>
                    </a:xfrm>
                    <a:prstGeom prst="rect">
                      <a:avLst/>
                    </a:prstGeom>
                  </pic:spPr>
                </pic:pic>
              </a:graphicData>
            </a:graphic>
          </wp:inline>
        </w:drawing>
      </w:r>
    </w:p>
    <w:p>
      <w:pPr>
        <w:pStyle w:val="29"/>
        <w:spacing w:line="360" w:lineRule="auto"/>
        <w:ind w:left="0" w:leftChars="0" w:firstLine="482" w:firstLineChars="0"/>
        <w:jc w:val="center"/>
        <w:rPr>
          <w:rFonts w:hint="default" w:ascii="Times New Roman" w:hAnsi="Times New Roman" w:eastAsia="仿宋_GB2312" w:cs="Times New Roman"/>
          <w:b w:val="0"/>
          <w:bCs w:val="0"/>
          <w:color w:val="000000" w:themeColor="text1"/>
          <w:sz w:val="32"/>
          <w:szCs w:val="22"/>
          <w:highlight w:val="none"/>
          <w:u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图4-4 粤港澳大湾区“菜篮子”生猪生产基地规划布局图</w:t>
      </w:r>
    </w:p>
    <w:p>
      <w:pPr>
        <w:pStyle w:val="29"/>
        <w:spacing w:line="360" w:lineRule="auto"/>
        <w:ind w:left="0" w:leftChars="0" w:firstLine="0"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drawing>
          <wp:inline distT="0" distB="0" distL="114300" distR="114300">
            <wp:extent cx="7872730" cy="4616450"/>
            <wp:effectExtent l="0" t="0" r="13970" b="12700"/>
            <wp:docPr id="42" name="图片 42" descr="图 5-5 粤港澳大湾区“菜篮子”禽肉生产基地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 5-5 粤港澳大湾区“菜篮子”禽肉生产基地规划布局图"/>
                    <pic:cNvPicPr>
                      <a:picLocks noChangeAspect="1"/>
                    </pic:cNvPicPr>
                  </pic:nvPicPr>
                  <pic:blipFill>
                    <a:blip r:embed="rId12"/>
                    <a:srcRect b="12049"/>
                    <a:stretch>
                      <a:fillRect/>
                    </a:stretch>
                  </pic:blipFill>
                  <pic:spPr>
                    <a:xfrm>
                      <a:off x="0" y="0"/>
                      <a:ext cx="7872730" cy="4616450"/>
                    </a:xfrm>
                    <a:prstGeom prst="rect">
                      <a:avLst/>
                    </a:prstGeom>
                  </pic:spPr>
                </pic:pic>
              </a:graphicData>
            </a:graphic>
          </wp:inline>
        </w:drawing>
      </w:r>
    </w:p>
    <w:p>
      <w:pPr>
        <w:pStyle w:val="29"/>
        <w:spacing w:line="360" w:lineRule="auto"/>
        <w:ind w:left="0" w:leftChars="0" w:firstLine="482"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图4-5 粤港澳大湾区“菜篮子”禽肉生产基地规划布局图</w:t>
      </w:r>
    </w:p>
    <w:p>
      <w:pPr>
        <w:pStyle w:val="29"/>
        <w:spacing w:line="360" w:lineRule="auto"/>
        <w:ind w:left="0" w:leftChars="0" w:firstLine="0"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drawing>
          <wp:inline distT="0" distB="0" distL="114300" distR="114300">
            <wp:extent cx="7872730" cy="4624070"/>
            <wp:effectExtent l="0" t="0" r="13970" b="5080"/>
            <wp:docPr id="43" name="图片 43" descr="图 5-6 粤港澳大湾区“菜篮子”牛羊肉生产基地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 5-6 粤港澳大湾区“菜篮子”牛羊肉生产基地规划布局图"/>
                    <pic:cNvPicPr>
                      <a:picLocks noChangeAspect="1"/>
                    </pic:cNvPicPr>
                  </pic:nvPicPr>
                  <pic:blipFill>
                    <a:blip r:embed="rId13"/>
                    <a:srcRect b="11904"/>
                    <a:stretch>
                      <a:fillRect/>
                    </a:stretch>
                  </pic:blipFill>
                  <pic:spPr>
                    <a:xfrm>
                      <a:off x="0" y="0"/>
                      <a:ext cx="7872730" cy="4624070"/>
                    </a:xfrm>
                    <a:prstGeom prst="rect">
                      <a:avLst/>
                    </a:prstGeom>
                  </pic:spPr>
                </pic:pic>
              </a:graphicData>
            </a:graphic>
          </wp:inline>
        </w:drawing>
      </w:r>
    </w:p>
    <w:p>
      <w:pPr>
        <w:pStyle w:val="29"/>
        <w:spacing w:line="360" w:lineRule="auto"/>
        <w:ind w:left="0" w:leftChars="0" w:firstLine="482"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图4-6 粤港澳大湾区“菜篮子”牛羊肉生产基地规划布局图</w:t>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drawing>
          <wp:inline distT="0" distB="0" distL="114300" distR="114300">
            <wp:extent cx="7186295" cy="4362450"/>
            <wp:effectExtent l="0" t="0" r="14605" b="0"/>
            <wp:docPr id="8" name="图片 8" descr="图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4-7"/>
                    <pic:cNvPicPr>
                      <a:picLocks noChangeAspect="1"/>
                    </pic:cNvPicPr>
                  </pic:nvPicPr>
                  <pic:blipFill>
                    <a:blip r:embed="rId14"/>
                    <a:srcRect b="8946"/>
                    <a:stretch>
                      <a:fillRect/>
                    </a:stretch>
                  </pic:blipFill>
                  <pic:spPr>
                    <a:xfrm>
                      <a:off x="0" y="0"/>
                      <a:ext cx="7186295" cy="4362450"/>
                    </a:xfrm>
                    <a:prstGeom prst="rect">
                      <a:avLst/>
                    </a:prstGeom>
                  </pic:spPr>
                </pic:pic>
              </a:graphicData>
            </a:graphic>
          </wp:inline>
        </w:drawing>
      </w:r>
    </w:p>
    <w:p>
      <w:pPr>
        <w:pStyle w:val="29"/>
        <w:spacing w:line="360" w:lineRule="auto"/>
        <w:ind w:left="0" w:leftChars="0" w:firstLine="482"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图4-7 粤港澳大湾区“菜篮子”水产品生产基地规划布局图</w:t>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drawing>
          <wp:inline distT="0" distB="0" distL="114300" distR="114300">
            <wp:extent cx="7872730" cy="4608830"/>
            <wp:effectExtent l="0" t="0" r="13970" b="1270"/>
            <wp:docPr id="45" name="图片 45" descr="图 5-8 粤港澳大湾区“菜篮子”禽蛋生产基地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 5-8 粤港澳大湾区“菜篮子”禽蛋生产基地规划布局图"/>
                    <pic:cNvPicPr>
                      <a:picLocks noChangeAspect="1"/>
                    </pic:cNvPicPr>
                  </pic:nvPicPr>
                  <pic:blipFill>
                    <a:blip r:embed="rId15"/>
                    <a:srcRect b="12195"/>
                    <a:stretch>
                      <a:fillRect/>
                    </a:stretch>
                  </pic:blipFill>
                  <pic:spPr>
                    <a:xfrm>
                      <a:off x="0" y="0"/>
                      <a:ext cx="7872730" cy="4608830"/>
                    </a:xfrm>
                    <a:prstGeom prst="rect">
                      <a:avLst/>
                    </a:prstGeom>
                  </pic:spPr>
                </pic:pic>
              </a:graphicData>
            </a:graphic>
          </wp:inline>
        </w:drawing>
      </w:r>
    </w:p>
    <w:p>
      <w:pPr>
        <w:pStyle w:val="29"/>
        <w:spacing w:line="360" w:lineRule="auto"/>
        <w:ind w:left="0" w:leftChars="0" w:firstLine="482"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图4-8 粤港澳大湾区“菜篮子”禽蛋生产基地规划布局图</w:t>
      </w:r>
    </w:p>
    <w:p>
      <w:pPr>
        <w:pStyle w:val="29"/>
        <w:spacing w:line="360" w:lineRule="auto"/>
        <w:ind w:firstLine="0" w:firstLineChars="0"/>
        <w:jc w:val="cente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drawing>
          <wp:inline distT="0" distB="0" distL="114300" distR="114300">
            <wp:extent cx="7872730" cy="4555490"/>
            <wp:effectExtent l="0" t="0" r="13970" b="16510"/>
            <wp:docPr id="46" name="图片 46" descr="图 5-9 粤港澳大湾区“菜篮子”奶类生产基地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 5-9 粤港澳大湾区“菜篮子”奶类生产基地规划布局图"/>
                    <pic:cNvPicPr>
                      <a:picLocks noChangeAspect="1"/>
                    </pic:cNvPicPr>
                  </pic:nvPicPr>
                  <pic:blipFill>
                    <a:blip r:embed="rId16"/>
                    <a:srcRect b="13211"/>
                    <a:stretch>
                      <a:fillRect/>
                    </a:stretch>
                  </pic:blipFill>
                  <pic:spPr>
                    <a:xfrm>
                      <a:off x="0" y="0"/>
                      <a:ext cx="7872730" cy="4555490"/>
                    </a:xfrm>
                    <a:prstGeom prst="rect">
                      <a:avLst/>
                    </a:prstGeom>
                  </pic:spPr>
                </pic:pic>
              </a:graphicData>
            </a:graphic>
          </wp:inline>
        </w:drawing>
      </w:r>
    </w:p>
    <w:p>
      <w:pPr>
        <w:pStyle w:val="29"/>
        <w:spacing w:line="360" w:lineRule="auto"/>
        <w:ind w:left="0" w:leftChars="0" w:firstLine="482" w:firstLineChars="0"/>
        <w:jc w:val="cente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图4-9 粤港澳大湾区“菜篮子”奶类生产基地规划布局图</w:t>
      </w:r>
    </w:p>
    <w:p>
      <w:pPr>
        <w:pStyle w:val="29"/>
        <w:spacing w:line="360" w:lineRule="auto"/>
        <w:ind w:left="0" w:leftChars="0" w:firstLine="0" w:firstLineChars="0"/>
        <w:jc w:val="cente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drawing>
          <wp:inline distT="0" distB="0" distL="114300" distR="114300">
            <wp:extent cx="7872730" cy="4578350"/>
            <wp:effectExtent l="0" t="0" r="13970" b="12700"/>
            <wp:docPr id="47" name="图片 47" descr="图 5-10 粤港澳大湾区“菜篮子”蜂产品生产基地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 5-10 粤港澳大湾区“菜篮子”蜂产品生产基地规划布局图"/>
                    <pic:cNvPicPr>
                      <a:picLocks noChangeAspect="1"/>
                    </pic:cNvPicPr>
                  </pic:nvPicPr>
                  <pic:blipFill>
                    <a:blip r:embed="rId17"/>
                    <a:srcRect b="12775"/>
                    <a:stretch>
                      <a:fillRect/>
                    </a:stretch>
                  </pic:blipFill>
                  <pic:spPr>
                    <a:xfrm>
                      <a:off x="0" y="0"/>
                      <a:ext cx="7872730" cy="4578350"/>
                    </a:xfrm>
                    <a:prstGeom prst="rect">
                      <a:avLst/>
                    </a:prstGeom>
                  </pic:spPr>
                </pic:pic>
              </a:graphicData>
            </a:graphic>
          </wp:inline>
        </w:drawing>
      </w:r>
    </w:p>
    <w:p>
      <w:pPr>
        <w:pStyle w:val="29"/>
        <w:keepNext/>
        <w:keepLines/>
        <w:pageBreakBefore w:val="0"/>
        <w:widowControl w:val="0"/>
        <w:kinsoku/>
        <w:wordWrap/>
        <w:overflowPunct/>
        <w:topLinePunct w:val="0"/>
        <w:autoSpaceDE/>
        <w:autoSpaceDN/>
        <w:bidi w:val="0"/>
        <w:adjustRightInd/>
        <w:snapToGrid/>
        <w:spacing w:before="0" w:after="0" w:line="360" w:lineRule="auto"/>
        <w:ind w:firstLine="482" w:firstLineChars="0"/>
        <w:jc w:val="center"/>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24"/>
          <w:szCs w:val="20"/>
          <w:highlight w:val="none"/>
          <w:lang w:val="en-US" w:eastAsia="zh-CN"/>
          <w14:textFill>
            <w14:solidFill>
              <w14:schemeClr w14:val="tx1"/>
            </w14:solidFill>
          </w14:textFill>
        </w:rPr>
        <w:t>图4-10 粤港澳大湾区“菜篮子”蜂产品生产基地规划布局图</w:t>
      </w:r>
    </w:p>
    <w:p>
      <w:pPr>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183" w:name="_Toc29001"/>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二、提升生产基地质量</w:t>
      </w:r>
      <w:bookmarkEnd w:id="172"/>
      <w:bookmarkEnd w:id="173"/>
      <w:bookmarkEnd w:id="174"/>
      <w:bookmarkEnd w:id="175"/>
      <w:bookmarkEnd w:id="176"/>
      <w:bookmarkEnd w:id="177"/>
      <w:bookmarkEnd w:id="178"/>
      <w:bookmarkEnd w:id="179"/>
      <w:bookmarkEnd w:id="180"/>
      <w:bookmarkEnd w:id="181"/>
      <w:bookmarkEnd w:id="182"/>
      <w:bookmarkEnd w:id="183"/>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按照</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生产基地认定规程》</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团体标准</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，规范生产基地认定条件、流程和方法，有序推进全国范围内生产基地认定。</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支持符合标准、条件的对口帮扶、东西部协作地区开展生产基地认定工作。</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着重抓好广州市内生产基地认定，强化现行各项财政激励政策落实，强化属地管理、压实各区责任，引导市内</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符合《粤港澳大湾区“菜篮子”生产基地认定规程》的蔬菜</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生产基地</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积极</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申请认定，并有序推动规模化水果、畜禽、水产品生产基地</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积极</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申请认定。</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鼓励</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大湾区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农业企业在外地优势产区建设大湾区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生产</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地，填补本地</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产品供应季节性不均衡的</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短板。</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184" w:name="_Toc26780"/>
      <w:bookmarkStart w:id="185" w:name="_Toc2837"/>
      <w:bookmarkStart w:id="186" w:name="_Toc28341"/>
      <w:bookmarkStart w:id="187" w:name="_Toc31763"/>
      <w:bookmarkStart w:id="188" w:name="_Toc2937"/>
      <w:bookmarkStart w:id="189" w:name="_Toc31531"/>
      <w:bookmarkStart w:id="190" w:name="_Toc25663"/>
      <w:bookmarkStart w:id="191" w:name="_Toc14973"/>
      <w:bookmarkStart w:id="192" w:name="_Toc22499"/>
      <w:bookmarkStart w:id="193" w:name="_Toc4247"/>
      <w:bookmarkStart w:id="194" w:name="_Toc2090"/>
      <w:bookmarkStart w:id="195" w:name="_Toc32492"/>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拓深生产基地功能</w:t>
      </w:r>
      <w:bookmarkEnd w:id="184"/>
      <w:bookmarkEnd w:id="185"/>
      <w:bookmarkEnd w:id="186"/>
      <w:bookmarkEnd w:id="187"/>
      <w:bookmarkEnd w:id="188"/>
      <w:bookmarkEnd w:id="189"/>
      <w:bookmarkEnd w:id="190"/>
      <w:bookmarkEnd w:id="191"/>
      <w:bookmarkEnd w:id="192"/>
      <w:bookmarkEnd w:id="193"/>
      <w:bookmarkEnd w:id="194"/>
      <w:bookmarkEnd w:id="195"/>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鼓励广州等珠三角各地结合区域优势资源，支持生产基地延长产业链条，注入农业生物科技、农产品深加工、</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智慧农业、</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生态保护、农业科普、农事体验、农</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耕</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文化、观光休闲等元素，促进产业融合发展，拓深生产基地功能，使其成为可供</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广大居民</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观光休闲、体验农耕文化</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的“后花园”</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和科普教育</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研学</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基地。</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196" w:name="_Toc26578"/>
      <w:bookmarkStart w:id="197" w:name="_Toc17856"/>
      <w:bookmarkStart w:id="198" w:name="_Toc13984"/>
      <w:bookmarkStart w:id="199" w:name="_Toc24633"/>
      <w:bookmarkStart w:id="200" w:name="_Toc23082"/>
      <w:bookmarkStart w:id="201" w:name="_Toc5635"/>
      <w:bookmarkStart w:id="202" w:name="_Toc11614"/>
      <w:bookmarkStart w:id="203" w:name="_Toc11711"/>
      <w:bookmarkStart w:id="204" w:name="_Toc25107"/>
      <w:bookmarkStart w:id="205" w:name="_Toc24218"/>
      <w:bookmarkStart w:id="206" w:name="_Toc15272"/>
      <w:bookmarkStart w:id="207" w:name="_Toc21690"/>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四、</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规范生产基地管理</w:t>
      </w:r>
      <w:bookmarkEnd w:id="196"/>
      <w:bookmarkEnd w:id="197"/>
      <w:bookmarkEnd w:id="198"/>
      <w:bookmarkEnd w:id="199"/>
      <w:bookmarkEnd w:id="200"/>
      <w:bookmarkEnd w:id="201"/>
      <w:bookmarkEnd w:id="202"/>
      <w:bookmarkEnd w:id="203"/>
      <w:bookmarkEnd w:id="204"/>
      <w:bookmarkEnd w:id="205"/>
      <w:bookmarkEnd w:id="206"/>
      <w:bookmarkEnd w:id="207"/>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依据</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生产基地认定规程》，</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加强对生产基地的动态管理，</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落实退出机制，</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提升生产主体质量安全第一责任人意识。推进</w:t>
      </w:r>
      <w:r>
        <w:rPr>
          <w:rFonts w:hint="default" w:ascii="Times New Roman" w:hAnsi="Times New Roman" w:eastAsia="仿宋_GB2312" w:cs="Times New Roman"/>
          <w:b w:val="0"/>
          <w:bCs w:val="0"/>
          <w:color w:val="000000" w:themeColor="text1"/>
          <w:kern w:val="0"/>
          <w:sz w:val="32"/>
          <w:szCs w:val="22"/>
          <w:highlight w:val="none"/>
          <w:lang w:val="en-US" w:eastAsia="zh-CN" w:bidi="ar-SA"/>
          <w14:textFill>
            <w14:solidFill>
              <w14:schemeClr w14:val="tx1"/>
            </w14:solidFill>
          </w14:textFill>
        </w:rPr>
        <w:t>生产基地建立健全内部管理制度，督促生产基地制定或引进生产技术标准和规程，</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促进认定生产基地</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标准化生产。</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强化生产基地属地管理责任，</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加强对认定生产基地的监管。</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督促生产主体严格执行</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粤港澳大湾区</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菜篮子</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平台产品质量安全标准体系</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，规范使用粤港澳大湾区</w:t>
      </w:r>
      <w:r>
        <w:rPr>
          <w:rFonts w:hint="eastAsia" w:ascii="Times New Roman" w:hAnsi="Times New Roman" w:eastAsia="仿宋_GB2312" w:cs="Times New Roman"/>
          <w:bCs w:val="0"/>
          <w:color w:val="000000" w:themeColor="text1"/>
          <w:kern w:val="2"/>
          <w:sz w:val="32"/>
          <w:szCs w:val="22"/>
          <w:highlight w:val="none"/>
          <w:lang w:val="en-US" w:eastAsia="zh-CN" w:bidi="ar"/>
          <w14:textFill>
            <w14:solidFill>
              <w14:schemeClr w14:val="tx1"/>
            </w14:solidFill>
          </w14:textFill>
        </w:rPr>
        <w:t>“</w:t>
      </w:r>
      <w:r>
        <w:rPr>
          <w:rFonts w:hint="default" w:ascii="Times New Roman" w:hAnsi="Times New Roman" w:eastAsia="仿宋_GB2312" w:cs="Times New Roman"/>
          <w:bCs w:val="0"/>
          <w:color w:val="000000" w:themeColor="text1"/>
          <w:kern w:val="2"/>
          <w:sz w:val="32"/>
          <w:szCs w:val="22"/>
          <w:highlight w:val="none"/>
          <w:lang w:val="en-US" w:eastAsia="zh-CN" w:bidi="ar"/>
          <w14:textFill>
            <w14:solidFill>
              <w14:schemeClr w14:val="tx1"/>
            </w14:solidFill>
          </w14:textFill>
        </w:rPr>
        <w:t>菜篮子</w:t>
      </w:r>
      <w:r>
        <w:rPr>
          <w:rFonts w:hint="eastAsia" w:ascii="Times New Roman" w:hAnsi="Times New Roman" w:eastAsia="仿宋_GB2312" w:cs="Times New Roman"/>
          <w:bCs w:val="0"/>
          <w:color w:val="000000" w:themeColor="text1"/>
          <w:kern w:val="2"/>
          <w:sz w:val="32"/>
          <w:szCs w:val="22"/>
          <w:highlight w:val="none"/>
          <w:lang w:val="en-US" w:eastAsia="zh-CN" w:bidi="ar"/>
          <w14:textFill>
            <w14:solidFill>
              <w14:schemeClr w14:val="tx1"/>
            </w14:solidFill>
          </w14:textFill>
        </w:rPr>
        <w:t>”</w:t>
      </w:r>
      <w:r>
        <w:rPr>
          <w:rFonts w:hint="default" w:ascii="Times New Roman" w:hAnsi="Times New Roman" w:eastAsia="仿宋_GB2312" w:cs="Times New Roman"/>
          <w:bCs w:val="0"/>
          <w:color w:val="000000" w:themeColor="text1"/>
          <w:kern w:val="2"/>
          <w:sz w:val="32"/>
          <w:szCs w:val="22"/>
          <w:highlight w:val="none"/>
          <w:lang w:val="en-US" w:eastAsia="zh-CN" w:bidi="ar"/>
          <w14:textFill>
            <w14:solidFill>
              <w14:schemeClr w14:val="tx1"/>
            </w14:solidFill>
          </w14:textFill>
        </w:rPr>
        <w:t>品牌</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标识。</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采取定期或随机抽查的方式，对生产基地生产管理过程</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、农业投入品使用、企业产品质量安全台账、质量安全监控、质量溯源等</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进行监测检查，确保粤港澳大湾区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生产基地产品优质、安全。</w:t>
      </w:r>
    </w:p>
    <w:p>
      <w:pP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100" w:after="100" w:line="360" w:lineRule="auto"/>
        <w:jc w:val="center"/>
        <w:textAlignment w:val="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bookmarkStart w:id="208" w:name="_Toc24686"/>
      <w:bookmarkStart w:id="209" w:name="_Toc3196"/>
      <w:bookmarkStart w:id="210" w:name="_Toc20394"/>
      <w:bookmarkStart w:id="211" w:name="_Toc27646"/>
      <w:bookmarkStart w:id="212" w:name="_Toc6947"/>
      <w:bookmarkStart w:id="213" w:name="_Toc9236"/>
      <w:bookmarkStart w:id="214" w:name="_Toc10092"/>
      <w:bookmarkStart w:id="215" w:name="_Toc31953"/>
      <w:bookmarkStart w:id="216" w:name="_Toc8748"/>
      <w:bookmarkStart w:id="217" w:name="_Toc8207"/>
      <w:bookmarkStart w:id="218" w:name="_Toc11006"/>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第</w:t>
      </w:r>
      <w:r>
        <w:rPr>
          <w:rFonts w:hint="eastAsia"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五</w:t>
      </w: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章  优化培育 深化市场流通体系建设</w:t>
      </w:r>
      <w:bookmarkEnd w:id="208"/>
      <w:bookmarkEnd w:id="209"/>
      <w:bookmarkEnd w:id="210"/>
      <w:bookmarkEnd w:id="211"/>
      <w:bookmarkEnd w:id="212"/>
      <w:bookmarkEnd w:id="213"/>
      <w:bookmarkEnd w:id="214"/>
      <w:bookmarkEnd w:id="215"/>
      <w:bookmarkEnd w:id="216"/>
      <w:bookmarkEnd w:id="217"/>
      <w:bookmarkEnd w:id="218"/>
    </w:p>
    <w:p>
      <w:pPr>
        <w:ind w:firstLine="640" w:firstLineChars="200"/>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p>
    <w:p>
      <w:pPr>
        <w:ind w:firstLine="640" w:firstLineChars="200"/>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在优化、整合</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现有市场流通体系</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的基础上</w:t>
      </w:r>
      <w:r>
        <w:rPr>
          <w:rFonts w:hint="default" w:ascii="Times New Roman" w:hAnsi="Times New Roman" w:eastAsia="仿宋_GB2312" w:cs="Times New Roman"/>
          <w:color w:val="000000" w:themeColor="text1"/>
          <w:sz w:val="32"/>
          <w:szCs w:val="22"/>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以构建全国农产品统一大市场为导向，</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结合生产基地布局和粤港澳大湾区及全国大中型城市等销区市场需求，进一步优化市场流通体系布局，打造高效流通平台，培育品牌营销龙头企业，强化产销衔接功能，推进流通便利，畅通</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品流通渠道，</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做大流通、做活市场，</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实现</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卖</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全球、</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买</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全球</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”目</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标。</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19" w:name="_Toc26793"/>
      <w:bookmarkStart w:id="220" w:name="_Toc13246"/>
      <w:bookmarkStart w:id="221" w:name="_Toc23463"/>
      <w:bookmarkStart w:id="222" w:name="_Toc4973"/>
      <w:bookmarkStart w:id="223" w:name="_Toc23547"/>
      <w:bookmarkStart w:id="224" w:name="_Toc4838"/>
      <w:bookmarkStart w:id="225" w:name="_Toc5518"/>
      <w:bookmarkStart w:id="226" w:name="_Toc2130"/>
      <w:bookmarkStart w:id="227" w:name="_Toc17039"/>
      <w:bookmarkStart w:id="228" w:name="_Toc32403"/>
      <w:bookmarkStart w:id="229" w:name="_Toc672"/>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一、</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优化产销流通体系布局</w:t>
      </w:r>
      <w:bookmarkEnd w:id="219"/>
      <w:bookmarkEnd w:id="220"/>
      <w:bookmarkEnd w:id="221"/>
      <w:bookmarkEnd w:id="222"/>
      <w:bookmarkEnd w:id="223"/>
      <w:bookmarkEnd w:id="224"/>
      <w:bookmarkEnd w:id="225"/>
      <w:bookmarkEnd w:id="226"/>
      <w:bookmarkEnd w:id="227"/>
      <w:bookmarkEnd w:id="228"/>
      <w:bookmarkEnd w:id="229"/>
    </w:p>
    <w:p>
      <w:pPr>
        <w:ind w:firstLine="640" w:firstLineChars="200"/>
        <w:rPr>
          <w:rFonts w:hint="eastAsia" w:ascii="Times New Roman" w:hAnsi="Times New Roman" w:eastAsia="仿宋_GB2312" w:cs="Times New Roman"/>
          <w:color w:val="auto"/>
          <w:sz w:val="32"/>
          <w:szCs w:val="22"/>
          <w:highlight w:val="none"/>
          <w:lang w:val="en-US" w:eastAsia="zh-CN"/>
        </w:rPr>
      </w:pPr>
      <w:r>
        <w:rPr>
          <w:rFonts w:hint="default" w:ascii="Times New Roman" w:hAnsi="Times New Roman" w:eastAsia="仿宋_GB2312" w:cs="Times New Roman"/>
          <w:color w:val="auto"/>
          <w:sz w:val="32"/>
          <w:szCs w:val="22"/>
          <w:highlight w:val="none"/>
          <w:lang w:val="en-US" w:eastAsia="zh-CN"/>
        </w:rPr>
        <w:t>加强和深化城际合作，结合产区农产品集散优势和粤港澳大湾区及全国大中型城市销区市场需求，在</w:t>
      </w:r>
      <w:r>
        <w:rPr>
          <w:rFonts w:hint="eastAsia" w:ascii="Times New Roman" w:hAnsi="Times New Roman" w:eastAsia="仿宋_GB2312" w:cs="Times New Roman"/>
          <w:color w:val="auto"/>
          <w:sz w:val="32"/>
          <w:szCs w:val="22"/>
          <w:highlight w:val="none"/>
          <w:lang w:val="en-US" w:eastAsia="zh-CN"/>
        </w:rPr>
        <w:t>广州设立</w:t>
      </w:r>
      <w:r>
        <w:rPr>
          <w:rFonts w:hint="eastAsia" w:eastAsia="仿宋_GB2312"/>
          <w:color w:val="auto"/>
          <w:sz w:val="32"/>
          <w:szCs w:val="32"/>
          <w:highlight w:val="none"/>
          <w:lang w:val="en-US" w:eastAsia="zh-CN"/>
        </w:rPr>
        <w:t>粤港澳大湾区“菜篮子”平台指挥中心</w:t>
      </w:r>
      <w:r>
        <w:rPr>
          <w:rFonts w:hint="eastAsia" w:ascii="Times New Roman" w:hAnsi="Times New Roman" w:eastAsia="仿宋_GB2312" w:cs="Times New Roman"/>
          <w:color w:val="auto"/>
          <w:sz w:val="32"/>
          <w:szCs w:val="22"/>
          <w:highlight w:val="none"/>
          <w:lang w:val="en-US" w:eastAsia="zh-CN"/>
        </w:rPr>
        <w:t>，建设</w:t>
      </w:r>
      <w:r>
        <w:rPr>
          <w:rFonts w:hint="eastAsia" w:eastAsia="仿宋_GB2312"/>
          <w:color w:val="auto"/>
          <w:sz w:val="32"/>
          <w:szCs w:val="32"/>
          <w:highlight w:val="none"/>
          <w:lang w:val="en-US" w:eastAsia="zh-CN"/>
        </w:rPr>
        <w:t>粤港澳大湾区“菜篮子”</w:t>
      </w:r>
      <w:r>
        <w:rPr>
          <w:rFonts w:hint="eastAsia" w:ascii="Times New Roman" w:hAnsi="Times New Roman" w:eastAsia="仿宋_GB2312" w:cs="Times New Roman"/>
          <w:color w:val="auto"/>
          <w:sz w:val="32"/>
          <w:szCs w:val="22"/>
          <w:highlight w:val="none"/>
          <w:lang w:val="en-US" w:eastAsia="zh-CN"/>
        </w:rPr>
        <w:t>交易中心（暂名），在符合条件的地级以上市（州）建立区域性配送（分）中心。充分发挥平台指挥中心的牵头抓总、统筹调度作用</w:t>
      </w:r>
      <w:r>
        <w:rPr>
          <w:rFonts w:hint="default" w:ascii="Times New Roman" w:hAnsi="Times New Roman" w:eastAsia="仿宋_GB2312" w:cs="Times New Roman"/>
          <w:color w:val="auto"/>
          <w:sz w:val="32"/>
          <w:szCs w:val="22"/>
          <w:highlight w:val="none"/>
          <w:lang w:val="en-US" w:eastAsia="zh-CN"/>
        </w:rPr>
        <w:t>，</w:t>
      </w:r>
      <w:r>
        <w:rPr>
          <w:rFonts w:hint="eastAsia" w:ascii="Times New Roman" w:hAnsi="Times New Roman" w:eastAsia="仿宋_GB2312" w:cs="Times New Roman"/>
          <w:color w:val="auto"/>
          <w:sz w:val="32"/>
          <w:szCs w:val="22"/>
          <w:highlight w:val="none"/>
          <w:lang w:val="en-US" w:eastAsia="zh-CN"/>
        </w:rPr>
        <w:t>逐步形成</w:t>
      </w:r>
      <w:r>
        <w:rPr>
          <w:rFonts w:hint="default" w:ascii="Times New Roman" w:hAnsi="Times New Roman" w:eastAsia="仿宋_GB2312" w:cs="Times New Roman"/>
          <w:color w:val="auto"/>
          <w:sz w:val="32"/>
          <w:szCs w:val="22"/>
          <w:highlight w:val="none"/>
          <w:lang w:val="en-US" w:eastAsia="zh-CN"/>
        </w:rPr>
        <w:t>纵贯南北、联结东西、安全高效的</w:t>
      </w:r>
      <w:r>
        <w:rPr>
          <w:rFonts w:hint="eastAsia" w:ascii="Times New Roman" w:hAnsi="Times New Roman" w:eastAsia="仿宋_GB2312" w:cs="Times New Roman"/>
          <w:color w:val="auto"/>
          <w:sz w:val="32"/>
          <w:szCs w:val="22"/>
          <w:highlight w:val="none"/>
          <w:lang w:val="en-US" w:eastAsia="zh-CN"/>
        </w:rPr>
        <w:t>流通服务体系。深入推行“</w:t>
      </w:r>
      <w:r>
        <w:rPr>
          <w:rFonts w:hint="default" w:ascii="Times New Roman" w:hAnsi="Times New Roman" w:eastAsia="仿宋_GB2312" w:cs="Times New Roman"/>
          <w:color w:val="auto"/>
          <w:sz w:val="32"/>
          <w:szCs w:val="22"/>
          <w:highlight w:val="none"/>
          <w:lang w:val="en-US" w:eastAsia="zh-CN"/>
        </w:rPr>
        <w:t>田头直销</w:t>
      </w:r>
      <w:r>
        <w:rPr>
          <w:rFonts w:hint="eastAsia" w:ascii="Times New Roman" w:hAnsi="Times New Roman" w:eastAsia="仿宋_GB2312" w:cs="Times New Roman"/>
          <w:color w:val="auto"/>
          <w:sz w:val="32"/>
          <w:szCs w:val="22"/>
          <w:highlight w:val="none"/>
          <w:lang w:val="en-US" w:eastAsia="zh-CN"/>
        </w:rPr>
        <w:t>”</w:t>
      </w:r>
      <w:r>
        <w:rPr>
          <w:rFonts w:hint="default" w:ascii="Times New Roman" w:hAnsi="Times New Roman" w:eastAsia="仿宋_GB2312" w:cs="Times New Roman"/>
          <w:color w:val="auto"/>
          <w:sz w:val="32"/>
          <w:szCs w:val="22"/>
          <w:highlight w:val="none"/>
          <w:lang w:val="en-US" w:eastAsia="zh-CN"/>
        </w:rPr>
        <w:t>模式，减少</w:t>
      </w:r>
      <w:r>
        <w:rPr>
          <w:rFonts w:hint="eastAsia" w:ascii="Times New Roman" w:hAnsi="Times New Roman" w:eastAsia="仿宋_GB2312" w:cs="Times New Roman"/>
          <w:color w:val="auto"/>
          <w:sz w:val="32"/>
          <w:szCs w:val="22"/>
          <w:highlight w:val="none"/>
          <w:lang w:val="en-US" w:eastAsia="zh-CN"/>
        </w:rPr>
        <w:t>农产品流通</w:t>
      </w:r>
      <w:r>
        <w:rPr>
          <w:rFonts w:hint="default" w:ascii="Times New Roman" w:hAnsi="Times New Roman" w:eastAsia="仿宋_GB2312" w:cs="Times New Roman"/>
          <w:color w:val="auto"/>
          <w:sz w:val="32"/>
          <w:szCs w:val="22"/>
          <w:highlight w:val="none"/>
          <w:lang w:val="en-US" w:eastAsia="zh-CN"/>
        </w:rPr>
        <w:t>中间环节，提升流通效率，</w:t>
      </w:r>
      <w:r>
        <w:rPr>
          <w:rFonts w:hint="eastAsia" w:ascii="Times New Roman" w:hAnsi="Times New Roman" w:eastAsia="仿宋_GB2312" w:cs="Times New Roman"/>
          <w:color w:val="auto"/>
          <w:sz w:val="32"/>
          <w:szCs w:val="22"/>
          <w:highlight w:val="none"/>
          <w:lang w:val="en-US" w:eastAsia="zh-CN"/>
        </w:rPr>
        <w:t>持续带动农业增效、农民增收。</w:t>
      </w:r>
    </w:p>
    <w:p>
      <w:pPr>
        <w:ind w:firstLine="640" w:firstLineChars="200"/>
        <w:rPr>
          <w:rFonts w:hint="default" w:ascii="Times New Roman" w:hAnsi="Times New Roman" w:eastAsia="仿宋_GB2312" w:cs="Times New Roman"/>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bidi="ar"/>
        </w:rPr>
        <w:t>产品</w:t>
      </w:r>
      <w:r>
        <w:rPr>
          <w:rFonts w:hint="default" w:ascii="仿宋_GB2312" w:hAnsi="仿宋_GB2312" w:eastAsia="仿宋_GB2312" w:cs="仿宋_GB2312"/>
          <w:color w:val="auto"/>
          <w:kern w:val="0"/>
          <w:sz w:val="32"/>
          <w:szCs w:val="32"/>
          <w:highlight w:val="none"/>
          <w:lang w:val="en-US" w:eastAsia="zh-CN" w:bidi="ar"/>
        </w:rPr>
        <w:t>配送</w:t>
      </w:r>
      <w:r>
        <w:rPr>
          <w:rFonts w:hint="eastAsia" w:ascii="Times New Roman" w:hAnsi="Times New Roman" w:eastAsia="仿宋_GB2312" w:cs="Times New Roman"/>
          <w:color w:val="auto"/>
          <w:sz w:val="32"/>
          <w:szCs w:val="22"/>
          <w:highlight w:val="none"/>
          <w:lang w:val="en-US" w:eastAsia="zh-CN"/>
        </w:rPr>
        <w:t>（分）</w:t>
      </w:r>
      <w:r>
        <w:rPr>
          <w:rFonts w:hint="default" w:ascii="仿宋_GB2312" w:hAnsi="仿宋_GB2312" w:eastAsia="仿宋_GB2312" w:cs="仿宋_GB2312"/>
          <w:color w:val="auto"/>
          <w:kern w:val="0"/>
          <w:sz w:val="32"/>
          <w:szCs w:val="32"/>
          <w:highlight w:val="none"/>
          <w:lang w:val="en-US" w:eastAsia="zh-CN" w:bidi="ar"/>
        </w:rPr>
        <w:t>中心：</w:t>
      </w:r>
      <w:r>
        <w:rPr>
          <w:rFonts w:hint="eastAsia" w:ascii="Times New Roman" w:hAnsi="Times New Roman" w:eastAsia="仿宋_GB2312" w:cs="Times New Roman"/>
          <w:color w:val="auto"/>
          <w:kern w:val="2"/>
          <w:sz w:val="32"/>
          <w:szCs w:val="32"/>
          <w:highlight w:val="none"/>
          <w:lang w:val="zh-CN" w:eastAsia="zh-CN"/>
        </w:rPr>
        <w:t>产品</w:t>
      </w:r>
      <w:r>
        <w:rPr>
          <w:rFonts w:hint="default" w:ascii="Times New Roman" w:hAnsi="Times New Roman" w:eastAsia="仿宋_GB2312" w:cs="Times New Roman"/>
          <w:color w:val="auto"/>
          <w:kern w:val="2"/>
          <w:sz w:val="32"/>
          <w:szCs w:val="32"/>
          <w:highlight w:val="none"/>
          <w:lang w:val="en-US" w:eastAsia="zh-CN"/>
        </w:rPr>
        <w:t>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color w:val="auto"/>
          <w:kern w:val="2"/>
          <w:sz w:val="32"/>
          <w:szCs w:val="32"/>
          <w:highlight w:val="none"/>
          <w:lang w:val="en-US" w:eastAsia="zh-CN"/>
        </w:rPr>
        <w:t>中心</w:t>
      </w:r>
      <w:r>
        <w:rPr>
          <w:rFonts w:hint="default" w:ascii="Times New Roman" w:hAnsi="Times New Roman" w:eastAsia="仿宋_GB2312" w:cs="Times New Roman"/>
          <w:color w:val="auto"/>
          <w:kern w:val="2"/>
          <w:sz w:val="32"/>
          <w:szCs w:val="32"/>
          <w:highlight w:val="none"/>
        </w:rPr>
        <w:t>建设地点</w:t>
      </w:r>
      <w:r>
        <w:rPr>
          <w:rFonts w:hint="default" w:ascii="Times New Roman" w:hAnsi="Times New Roman" w:eastAsia="仿宋_GB2312" w:cs="Times New Roman"/>
          <w:color w:val="auto"/>
          <w:kern w:val="2"/>
          <w:sz w:val="32"/>
          <w:szCs w:val="32"/>
          <w:highlight w:val="none"/>
          <w:lang w:val="en-US" w:eastAsia="zh-CN"/>
        </w:rPr>
        <w:t>一般应</w:t>
      </w:r>
      <w:r>
        <w:rPr>
          <w:rFonts w:hint="default" w:ascii="Times New Roman" w:hAnsi="Times New Roman" w:eastAsia="仿宋_GB2312" w:cs="Times New Roman"/>
          <w:color w:val="auto"/>
          <w:kern w:val="2"/>
          <w:sz w:val="32"/>
          <w:szCs w:val="32"/>
          <w:highlight w:val="none"/>
        </w:rPr>
        <w:t>位于全国优质农产品主要产地</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集散地城市</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统一使用粤港澳大</w:t>
      </w:r>
      <w:r>
        <w:rPr>
          <w:rFonts w:hint="eastAsia" w:ascii="仿宋_GB2312" w:hAnsi="仿宋_GB2312" w:eastAsia="仿宋_GB2312" w:cs="仿宋_GB2312"/>
          <w:color w:val="auto"/>
          <w:kern w:val="0"/>
          <w:sz w:val="32"/>
          <w:szCs w:val="32"/>
          <w:highlight w:val="none"/>
          <w:lang w:val="zh-CN" w:bidi="ar"/>
        </w:rPr>
        <w:t>湾区“菜篮子”</w:t>
      </w:r>
      <w:r>
        <w:rPr>
          <w:rFonts w:hint="default" w:ascii="Times New Roman" w:hAnsi="Times New Roman" w:eastAsia="仿宋_GB2312" w:cs="Times New Roman"/>
          <w:color w:val="auto"/>
          <w:sz w:val="32"/>
          <w:szCs w:val="22"/>
          <w:highlight w:val="none"/>
          <w:lang w:val="zh-CN" w:eastAsia="zh-CN"/>
        </w:rPr>
        <w:t>农产品质量安全溯源管理平台</w:t>
      </w:r>
      <w:r>
        <w:rPr>
          <w:rFonts w:hint="default" w:ascii="Times New Roman" w:hAnsi="Times New Roman" w:eastAsia="仿宋_GB2312" w:cs="Times New Roman"/>
          <w:color w:val="auto"/>
          <w:kern w:val="2"/>
          <w:sz w:val="32"/>
          <w:szCs w:val="32"/>
          <w:highlight w:val="none"/>
        </w:rPr>
        <w:t>进行产品流通、检测、管理，具备产品仓配集散</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冷链物流</w:t>
      </w:r>
      <w:r>
        <w:rPr>
          <w:rFonts w:hint="default" w:ascii="Times New Roman" w:hAnsi="Times New Roman" w:eastAsia="仿宋_GB2312" w:cs="Times New Roman"/>
          <w:color w:val="auto"/>
          <w:kern w:val="2"/>
          <w:sz w:val="32"/>
          <w:szCs w:val="32"/>
          <w:highlight w:val="none"/>
        </w:rPr>
        <w:t>配送</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rPr>
        <w:t>质量安全检测、市场开拓、监督、</w:t>
      </w:r>
      <w:r>
        <w:rPr>
          <w:rFonts w:hint="default" w:ascii="Times New Roman" w:hAnsi="Times New Roman" w:eastAsia="仿宋_GB2312" w:cs="Times New Roman"/>
          <w:color w:val="auto"/>
          <w:kern w:val="2"/>
          <w:sz w:val="32"/>
          <w:szCs w:val="32"/>
          <w:highlight w:val="none"/>
        </w:rPr>
        <w:t>报关等主要功能</w:t>
      </w:r>
      <w:r>
        <w:rPr>
          <w:rFonts w:hint="eastAsia" w:ascii="Times New Roman" w:hAnsi="Times New Roman" w:eastAsia="仿宋_GB2312" w:cs="Times New Roman"/>
          <w:color w:val="auto"/>
          <w:kern w:val="2"/>
          <w:sz w:val="32"/>
          <w:szCs w:val="32"/>
          <w:highlight w:val="none"/>
          <w:lang w:eastAsia="zh-CN"/>
        </w:rPr>
        <w:t>。</w:t>
      </w:r>
    </w:p>
    <w:p>
      <w:pPr>
        <w:ind w:firstLine="640" w:firstLineChars="200"/>
        <w:rPr>
          <w:rFonts w:hint="eastAsia" w:ascii="Times New Roman" w:hAnsi="Times New Roman" w:eastAsia="仿宋_GB2312"/>
          <w:color w:val="auto"/>
          <w:sz w:val="32"/>
          <w:szCs w:val="32"/>
          <w:highlight w:val="none"/>
          <w:lang w:eastAsia="zh-CN"/>
        </w:rPr>
      </w:pPr>
      <w:r>
        <w:rPr>
          <w:rFonts w:hint="eastAsia" w:ascii="Times New Roman" w:hAnsi="Times New Roman" w:eastAsia="仿宋_GB2312" w:cs="Times New Roman"/>
          <w:color w:val="auto"/>
          <w:sz w:val="32"/>
          <w:szCs w:val="22"/>
          <w:highlight w:val="none"/>
          <w:lang w:val="en-US" w:eastAsia="zh-CN"/>
        </w:rPr>
        <w:t>交易中心：</w:t>
      </w:r>
      <w:r>
        <w:rPr>
          <w:rFonts w:hint="default" w:ascii="Times New Roman" w:hAnsi="Times New Roman" w:eastAsia="仿宋_GB2312" w:cs="Times New Roman"/>
          <w:color w:val="auto"/>
          <w:sz w:val="32"/>
          <w:szCs w:val="22"/>
          <w:highlight w:val="none"/>
          <w:lang w:val="en-US" w:eastAsia="zh-CN"/>
        </w:rPr>
        <w:t>立足于珠三角经济发展好、人口总量大、市场潜力高、运输体系高效便捷的现实基础，</w:t>
      </w:r>
      <w:r>
        <w:rPr>
          <w:rFonts w:hint="eastAsia" w:ascii="Times New Roman" w:hAnsi="Times New Roman" w:eastAsia="仿宋_GB2312" w:cs="Times New Roman"/>
          <w:color w:val="auto"/>
          <w:sz w:val="32"/>
          <w:szCs w:val="22"/>
          <w:highlight w:val="none"/>
          <w:lang w:val="en-US" w:eastAsia="zh-CN"/>
        </w:rPr>
        <w:t>在</w:t>
      </w:r>
      <w:r>
        <w:rPr>
          <w:rFonts w:hint="default" w:ascii="Times New Roman" w:hAnsi="Times New Roman" w:eastAsia="仿宋_GB2312" w:cs="Times New Roman"/>
          <w:color w:val="auto"/>
          <w:sz w:val="32"/>
          <w:szCs w:val="22"/>
          <w:highlight w:val="none"/>
          <w:lang w:val="en-US" w:eastAsia="zh-CN"/>
        </w:rPr>
        <w:t>广州</w:t>
      </w:r>
      <w:r>
        <w:rPr>
          <w:rFonts w:hint="default" w:ascii="Times New Roman" w:hAnsi="Times New Roman" w:eastAsia="仿宋_GB2312" w:cs="Times New Roman"/>
          <w:color w:val="auto"/>
          <w:sz w:val="32"/>
          <w:szCs w:val="32"/>
          <w:highlight w:val="none"/>
          <w:lang w:val="en-US" w:eastAsia="zh-CN"/>
        </w:rPr>
        <w:t>建设</w:t>
      </w:r>
      <w:r>
        <w:rPr>
          <w:rFonts w:hint="default" w:ascii="Times New Roman" w:hAnsi="Times New Roman" w:eastAsia="仿宋_GB2312" w:cs="Times New Roman"/>
          <w:color w:val="auto"/>
          <w:sz w:val="32"/>
          <w:szCs w:val="32"/>
          <w:highlight w:val="none"/>
          <w:lang w:eastAsia="zh-CN"/>
        </w:rPr>
        <w:t>集交易、仓储、集配、</w:t>
      </w:r>
      <w:r>
        <w:rPr>
          <w:rFonts w:hint="eastAsia" w:ascii="Times New Roman" w:hAnsi="Times New Roman" w:eastAsia="仿宋_GB2312" w:cs="Times New Roman"/>
          <w:color w:val="auto"/>
          <w:sz w:val="32"/>
          <w:szCs w:val="32"/>
          <w:highlight w:val="none"/>
          <w:lang w:val="en-US" w:eastAsia="zh-CN"/>
        </w:rPr>
        <w:t>电子商务、会展、</w:t>
      </w:r>
      <w:r>
        <w:rPr>
          <w:rFonts w:hint="default" w:ascii="Times New Roman" w:hAnsi="Times New Roman" w:eastAsia="仿宋_GB2312" w:cs="Times New Roman"/>
          <w:color w:val="auto"/>
          <w:sz w:val="32"/>
          <w:szCs w:val="32"/>
          <w:highlight w:val="none"/>
          <w:lang w:eastAsia="zh-CN"/>
        </w:rPr>
        <w:t>消费、体验、中央厨房等功能</w:t>
      </w:r>
      <w:r>
        <w:rPr>
          <w:rFonts w:hint="eastAsia" w:ascii="Times New Roman" w:hAnsi="Times New Roman" w:eastAsia="仿宋_GB2312" w:cs="Times New Roman"/>
          <w:color w:val="auto"/>
          <w:sz w:val="32"/>
          <w:szCs w:val="32"/>
          <w:highlight w:val="none"/>
          <w:lang w:val="en-US" w:eastAsia="zh-CN"/>
        </w:rPr>
        <w:t>于</w:t>
      </w:r>
      <w:r>
        <w:rPr>
          <w:rFonts w:hint="default" w:ascii="Times New Roman" w:hAnsi="Times New Roman" w:eastAsia="仿宋_GB2312" w:cs="Times New Roman"/>
          <w:color w:val="auto"/>
          <w:sz w:val="32"/>
          <w:szCs w:val="32"/>
          <w:highlight w:val="none"/>
          <w:lang w:eastAsia="zh-CN"/>
        </w:rPr>
        <w:t>一体</w:t>
      </w:r>
      <w:r>
        <w:rPr>
          <w:rFonts w:hint="eastAsia" w:ascii="Times New Roman" w:hAnsi="Times New Roman" w:eastAsia="仿宋_GB2312" w:cs="Times New Roman"/>
          <w:color w:val="auto"/>
          <w:sz w:val="32"/>
          <w:szCs w:val="32"/>
          <w:highlight w:val="none"/>
          <w:lang w:eastAsia="zh-CN"/>
        </w:rPr>
        <w:t>的</w:t>
      </w:r>
      <w:r>
        <w:rPr>
          <w:rFonts w:hint="default" w:ascii="Times New Roman" w:hAnsi="Times New Roman" w:eastAsia="仿宋_GB2312" w:cs="Times New Roman"/>
          <w:color w:val="auto"/>
          <w:sz w:val="32"/>
          <w:szCs w:val="32"/>
          <w:highlight w:val="none"/>
          <w:lang w:eastAsia="zh-CN"/>
        </w:rPr>
        <w:t>粤港澳大湾</w:t>
      </w:r>
      <w:r>
        <w:rPr>
          <w:rFonts w:hint="eastAsia" w:ascii="仿宋_GB2312" w:hAnsi="仿宋_GB2312" w:eastAsia="仿宋_GB2312" w:cs="仿宋_GB2312"/>
          <w:color w:val="auto"/>
          <w:kern w:val="0"/>
          <w:sz w:val="32"/>
          <w:szCs w:val="32"/>
          <w:highlight w:val="none"/>
          <w:lang w:val="zh-CN" w:eastAsia="zh-CN" w:bidi="ar"/>
        </w:rPr>
        <w:t>区“菜篮子”交易中</w:t>
      </w:r>
      <w:r>
        <w:rPr>
          <w:rFonts w:hint="default" w:ascii="Times New Roman" w:hAnsi="Times New Roman" w:eastAsia="仿宋_GB2312" w:cs="Times New Roman"/>
          <w:color w:val="auto"/>
          <w:sz w:val="32"/>
          <w:szCs w:val="32"/>
          <w:highlight w:val="none"/>
          <w:lang w:eastAsia="zh-CN"/>
        </w:rPr>
        <w:t>心</w:t>
      </w:r>
      <w:r>
        <w:rPr>
          <w:rFonts w:hint="eastAsia" w:ascii="Times New Roman" w:hAnsi="Times New Roman" w:eastAsia="仿宋_GB2312" w:cs="Times New Roman"/>
          <w:color w:val="auto"/>
          <w:sz w:val="32"/>
          <w:szCs w:val="32"/>
          <w:highlight w:val="none"/>
          <w:lang w:eastAsia="zh-CN"/>
        </w:rPr>
        <w:t>。交易中心对标国际一流农产品交易市场，</w:t>
      </w:r>
      <w:r>
        <w:rPr>
          <w:rFonts w:hint="eastAsia" w:ascii="Times New Roman" w:hAnsi="Times New Roman" w:eastAsia="仿宋_GB2312"/>
          <w:color w:val="auto"/>
          <w:sz w:val="32"/>
          <w:szCs w:val="32"/>
          <w:highlight w:val="none"/>
        </w:rPr>
        <w:t>兼顾国内、国际两个市场</w:t>
      </w:r>
      <w:r>
        <w:rPr>
          <w:rFonts w:hint="eastAsia" w:ascii="Times New Roman" w:hAnsi="Times New Roman" w:eastAsia="仿宋_GB2312"/>
          <w:color w:val="auto"/>
          <w:sz w:val="32"/>
          <w:szCs w:val="32"/>
          <w:highlight w:val="none"/>
          <w:lang w:eastAsia="zh-CN"/>
        </w:rPr>
        <w:t>，力争</w:t>
      </w:r>
      <w:r>
        <w:rPr>
          <w:rFonts w:hint="eastAsia" w:ascii="Times New Roman" w:hAnsi="Times New Roman" w:eastAsia="仿宋_GB2312"/>
          <w:color w:val="auto"/>
          <w:sz w:val="32"/>
          <w:szCs w:val="32"/>
          <w:highlight w:val="none"/>
        </w:rPr>
        <w:t>打造</w:t>
      </w:r>
      <w:r>
        <w:rPr>
          <w:rFonts w:hint="eastAsia" w:ascii="Times New Roman" w:hAnsi="Times New Roman" w:eastAsia="仿宋_GB2312" w:cs="仿宋_GB2312"/>
          <w:color w:val="auto"/>
          <w:sz w:val="32"/>
          <w:szCs w:val="32"/>
          <w:lang w:val="en-US" w:eastAsia="zh-CN"/>
        </w:rPr>
        <w:t>标准化、信息化、智能化</w:t>
      </w:r>
      <w:r>
        <w:rPr>
          <w:rFonts w:hint="eastAsia" w:ascii="Times New Roman" w:hAnsi="Times New Roman" w:eastAsia="仿宋_GB2312"/>
          <w:color w:val="auto"/>
          <w:sz w:val="32"/>
          <w:szCs w:val="32"/>
          <w:highlight w:val="none"/>
        </w:rPr>
        <w:t>全球农产品进出口交易平台</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在</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双循环</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新发展格局中促进农业贸易高质量发展</w:t>
      </w:r>
      <w:r>
        <w:rPr>
          <w:rFonts w:hint="eastAsia" w:ascii="Times New Roman" w:hAnsi="Times New Roman" w:eastAsia="仿宋_GB2312"/>
          <w:color w:val="auto"/>
          <w:sz w:val="32"/>
          <w:szCs w:val="32"/>
          <w:highlight w:val="none"/>
          <w:lang w:eastAsia="zh-CN"/>
        </w:rPr>
        <w:t>。</w:t>
      </w:r>
    </w:p>
    <w:p>
      <w:pPr>
        <w:pStyle w:val="5"/>
        <w:keepNext/>
        <w:keepLines/>
        <w:widowControl w:val="0"/>
        <w:spacing w:before="0" w:after="0" w:line="360" w:lineRule="auto"/>
        <w:ind w:firstLine="640" w:firstLineChars="200"/>
        <w:jc w:val="both"/>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30" w:name="_Toc15569"/>
      <w:bookmarkStart w:id="231" w:name="_Toc21473"/>
      <w:bookmarkStart w:id="232" w:name="_Toc8010"/>
      <w:bookmarkStart w:id="233" w:name="_Toc18804"/>
      <w:bookmarkStart w:id="234" w:name="_Toc30873"/>
      <w:bookmarkStart w:id="235" w:name="_Toc13540"/>
      <w:bookmarkStart w:id="236" w:name="_Toc21979"/>
      <w:bookmarkStart w:id="237" w:name="_Toc25864"/>
      <w:bookmarkStart w:id="238" w:name="_Toc4644"/>
      <w:bookmarkStart w:id="239" w:name="_Toc32604"/>
      <w:bookmarkStart w:id="240" w:name="_Toc7329"/>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二、</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积极拓展市场流通渠道</w:t>
      </w:r>
      <w:bookmarkEnd w:id="230"/>
      <w:bookmarkEnd w:id="231"/>
      <w:bookmarkEnd w:id="232"/>
      <w:bookmarkEnd w:id="233"/>
      <w:bookmarkEnd w:id="234"/>
      <w:bookmarkEnd w:id="235"/>
      <w:bookmarkEnd w:id="236"/>
      <w:bookmarkEnd w:id="237"/>
      <w:bookmarkEnd w:id="238"/>
      <w:bookmarkEnd w:id="239"/>
      <w:bookmarkEnd w:id="240"/>
    </w:p>
    <w:p>
      <w:pPr>
        <w:keepNext w:val="0"/>
        <w:keepLines w:val="0"/>
        <w:widowControl/>
        <w:suppressLineNumbers w:val="0"/>
        <w:spacing w:line="360" w:lineRule="auto"/>
        <w:ind w:firstLine="640" w:firstLineChars="200"/>
        <w:jc w:val="both"/>
        <w:outlineLvl w:val="9"/>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鼓</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励“菜篮子”相关</w:t>
      </w:r>
      <w:r>
        <w:rPr>
          <w:rFonts w:hint="default" w:ascii="Times New Roman" w:hAnsi="Times New Roman" w:eastAsia="仿宋_GB2312" w:cs="Times New Roman"/>
          <w:color w:val="000000" w:themeColor="text1"/>
          <w:kern w:val="2"/>
          <w:sz w:val="32"/>
          <w:szCs w:val="32"/>
          <w:highlight w:val="none"/>
          <w:lang w:val="en-US" w:eastAsia="zh-CN" w:bidi="ar"/>
          <w14:textFill>
            <w14:solidFill>
              <w14:schemeClr w14:val="tx1"/>
            </w14:solidFill>
          </w14:textFill>
        </w:rPr>
        <w:t>流通、市场主体融</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入粤港澳大湾</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流通服务体系建设，充分发挥其原有流通销售网络渠道，</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融入</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区“菜篮子”工程</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，实现协同发展。支持现有</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“菜篮子”市</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场、大型商超等</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积极销售</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“菜篮子”产</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品</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产品</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均统一按照</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“菜篮子”平台产</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品</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质量安全标准进行供应销售</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拓宽销售渠道，拓展</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港澳大湾区</w:t>
      </w:r>
      <w:r>
        <w:rPr>
          <w:rFonts w:hint="eastAsia" w:ascii="仿宋_GB2312" w:hAnsi="仿宋_GB2312" w:eastAsia="仿宋_GB2312" w:cs="仿宋_GB2312"/>
          <w:bCs w:val="0"/>
          <w:color w:val="000000" w:themeColor="text1"/>
          <w:kern w:val="0"/>
          <w:sz w:val="32"/>
          <w:szCs w:val="32"/>
          <w:highlight w:val="none"/>
          <w:lang w:val="zh-CN" w:eastAsia="zh-CN" w:bidi="ar"/>
          <w14:textFill>
            <w14:solidFill>
              <w14:schemeClr w14:val="tx1"/>
            </w14:solidFill>
          </w14:textFill>
        </w:rPr>
        <w:t>“菜篮子”产品</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和品牌受众面。</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推动大型生产基地和流通企业布局无接触自动售卖智能零售终端、专卖店和超市销售点等多元销售模式，</w:t>
      </w:r>
      <w:r>
        <w:rPr>
          <w:rFonts w:hint="default" w:ascii="Times New Roman" w:hAnsi="Times New Roman" w:eastAsia="仿宋_GB2312" w:cs="Times New Roman"/>
          <w:bCs/>
          <w:color w:val="000000" w:themeColor="text1"/>
          <w:kern w:val="0"/>
          <w:sz w:val="32"/>
          <w:szCs w:val="32"/>
          <w:highlight w:val="none"/>
          <w:lang w:val="en-US" w:eastAsia="zh-CN" w:bidi="ar-SA"/>
          <w14:textFill>
            <w14:solidFill>
              <w14:schemeClr w14:val="tx1"/>
            </w14:solidFill>
          </w14:textFill>
        </w:rPr>
        <w:t>发展社区团购等新零售</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支持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指导</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各相关地市</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在广州等湾区市场建设粤港澳大湾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区“菜篮子”展示交</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易中心等平台，实现</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集</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区域总部、商务洽谈、线上线下交易、产品发布、展示推广等多种功能于一体。鼓励生产基地和流通主体开拓线上渠道，</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与</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国内生鲜</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电商</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行业龙头</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及专业生鲜电商平台合作，</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探索</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设立粤港澳大</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湾区“菜篮子”产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品专场。</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41" w:name="_Toc13685"/>
      <w:bookmarkStart w:id="242" w:name="_Toc21608"/>
      <w:bookmarkStart w:id="243" w:name="_Toc23968"/>
      <w:bookmarkStart w:id="244" w:name="_Toc19089"/>
      <w:bookmarkStart w:id="245" w:name="_Toc22844"/>
      <w:bookmarkStart w:id="246" w:name="_Toc3028"/>
      <w:bookmarkStart w:id="247" w:name="_Toc16332"/>
      <w:bookmarkStart w:id="248" w:name="_Toc20599"/>
      <w:bookmarkStart w:id="249" w:name="_Toc31631"/>
      <w:bookmarkStart w:id="250" w:name="_Toc15031"/>
      <w:bookmarkStart w:id="251" w:name="_Toc5210"/>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强化产销衔接</w:t>
      </w:r>
      <w:bookmarkEnd w:id="241"/>
      <w:bookmarkEnd w:id="242"/>
      <w:bookmarkEnd w:id="243"/>
      <w:bookmarkEnd w:id="244"/>
      <w:bookmarkEnd w:id="245"/>
      <w:bookmarkEnd w:id="246"/>
      <w:bookmarkEnd w:id="247"/>
      <w:bookmarkEnd w:id="248"/>
      <w:bookmarkEnd w:id="249"/>
      <w:bookmarkEnd w:id="250"/>
      <w:bookmarkEnd w:id="251"/>
    </w:p>
    <w:p>
      <w:pPr>
        <w:keepNext w:val="0"/>
        <w:keepLines w:val="0"/>
        <w:widowControl/>
        <w:suppressLineNumbers w:val="0"/>
        <w:spacing w:line="360" w:lineRule="auto"/>
        <w:ind w:firstLine="640" w:firstLineChars="200"/>
        <w:jc w:val="left"/>
        <w:outlineLvl w:val="9"/>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引导龙头企业、大型农批市场、大型商超、物流企业等市场流通企业</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根据大湾区市场需求，通过订单农业、产销一体、股权合作等模式，主动</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与</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优势产区、已认定</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生产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基地加强</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对接，</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建立</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“菜篮子”产品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供应保障基地</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，尤其在保供企业中加强产销对接宣传。支持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认定的生产基地</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开展农超对接、团体配送服务等，促进产地“菜篮子”产品直接面对消费群体。举办粤港澳大湾区“菜篮子”供需对接会、洽谈会、品鉴会等各类形式的产销对接活动，搭建线上线下产销对接平台，组织农产品生产和市场流通主体交流衔接。</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52" w:name="_Toc31752"/>
      <w:bookmarkStart w:id="253" w:name="_Toc12284"/>
      <w:bookmarkStart w:id="254" w:name="_Toc13615"/>
      <w:bookmarkStart w:id="255" w:name="_Toc21183"/>
      <w:bookmarkStart w:id="256" w:name="_Toc24795"/>
      <w:bookmarkStart w:id="257" w:name="_Toc16037"/>
      <w:bookmarkStart w:id="258" w:name="_Toc8594"/>
      <w:bookmarkStart w:id="259" w:name="_Toc16958"/>
      <w:bookmarkStart w:id="260" w:name="_Toc15526"/>
      <w:bookmarkStart w:id="261" w:name="_Toc31033"/>
      <w:bookmarkStart w:id="262" w:name="_Toc1339"/>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四、</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培育品牌营销龙头企业</w:t>
      </w:r>
      <w:bookmarkEnd w:id="252"/>
      <w:bookmarkEnd w:id="253"/>
      <w:bookmarkEnd w:id="254"/>
      <w:bookmarkEnd w:id="255"/>
      <w:bookmarkEnd w:id="256"/>
      <w:bookmarkEnd w:id="257"/>
      <w:bookmarkEnd w:id="258"/>
      <w:bookmarkEnd w:id="259"/>
      <w:bookmarkEnd w:id="260"/>
      <w:bookmarkEnd w:id="261"/>
      <w:bookmarkEnd w:id="262"/>
    </w:p>
    <w:p>
      <w:pPr>
        <w:ind w:firstLine="640" w:firstLineChars="200"/>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通过内培外引的方式，培育一</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批“社会责任感强、有公信力、实力雄厚”的专业农业企业牵头品牌营销，创立一批从事供粤港澳大湾区“菜篮子”产品市场营销</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的企业品牌，形成龙头企业带动效应。</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鼓励</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各地粤港澳大湾区“菜篮子”产品配送</w:t>
      </w:r>
      <w:r>
        <w:rPr>
          <w:rFonts w:hint="eastAsia" w:ascii="Times New Roman" w:hAnsi="Times New Roman" w:eastAsia="仿宋_GB2312" w:cs="Times New Roman"/>
          <w:color w:val="auto"/>
          <w:sz w:val="32"/>
          <w:szCs w:val="22"/>
          <w:highlight w:val="none"/>
          <w:lang w:val="en-US" w:eastAsia="zh-CN"/>
        </w:rPr>
        <w:t>（分）</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中心联</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合</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大型涉农企业、相关批发市场</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、生产基地</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等</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发起成立行业协会等社会团体组织</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，维护行业利益，规范行业企业的市场行为，提高交易效率，协调、沟通企业与政府间的关系，加强行业自我管理、自我服务和促进成员利益的协调，提供产销对接、金融保险、应急保障等服务，</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助力</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实现“企业主体、市场运作”的目标。</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鼓励企业之间相互参访学习，探索创新生产经营模式。</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63" w:name="_Toc30962"/>
      <w:bookmarkStart w:id="264" w:name="_Toc5493"/>
      <w:bookmarkStart w:id="265" w:name="_Toc5939"/>
      <w:bookmarkStart w:id="266" w:name="_Toc12335"/>
      <w:bookmarkStart w:id="267" w:name="_Toc11297"/>
      <w:bookmarkStart w:id="268" w:name="_Toc30667"/>
      <w:bookmarkStart w:id="269" w:name="_Toc18933"/>
      <w:bookmarkStart w:id="270" w:name="_Toc2658"/>
      <w:bookmarkStart w:id="271" w:name="_Toc27603"/>
      <w:bookmarkStart w:id="272" w:name="_Toc26429"/>
      <w:bookmarkStart w:id="273" w:name="_Toc10562"/>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五、</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推进流通便利</w:t>
      </w:r>
      <w:bookmarkEnd w:id="263"/>
      <w:bookmarkEnd w:id="264"/>
      <w:bookmarkEnd w:id="265"/>
      <w:bookmarkEnd w:id="266"/>
      <w:bookmarkEnd w:id="267"/>
      <w:bookmarkEnd w:id="268"/>
      <w:bookmarkEnd w:id="269"/>
      <w:bookmarkEnd w:id="270"/>
      <w:bookmarkEnd w:id="271"/>
      <w:bookmarkEnd w:id="272"/>
      <w:bookmarkEnd w:id="273"/>
    </w:p>
    <w:p>
      <w:pPr>
        <w:ind w:firstLine="640" w:firstLineChars="200"/>
        <w:rPr>
          <w:rFonts w:hint="default" w:ascii="Times New Roman" w:hAnsi="Times New Roman" w:eastAsia="仿宋_GB2312" w:cs="Times New Roman"/>
          <w:color w:val="000000" w:themeColor="text1"/>
          <w:sz w:val="32"/>
          <w:szCs w:val="32"/>
          <w:highlight w:val="none"/>
          <w14:textFill>
            <w14:solidFill>
              <w14:schemeClr w14:val="tx1"/>
            </w14:solidFill>
          </w14:textFill>
        </w:rPr>
        <w:sectPr>
          <w:pgSz w:w="11906" w:h="16838"/>
          <w:pgMar w:top="2098" w:right="1474" w:bottom="1984"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继续推进通关服务前移的</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“单一窗口”</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服务通关新模式。推进</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“菜篮子”产品通关服务</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便利化，由内地海关部门之间协调建立口岸管理信息互换、监管互认、执法互助的通关协作机制，进一步压缩整体通关时间。在</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产品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中心、交易中心、</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通关</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便利区等流通体系，建设集检验、检疫、报关服务为一体的</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“一站式”服</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务区，设立海关报关、铅封驻场服务点和第三方检验检疫驻场服务点。</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推进</w:t>
      </w:r>
      <w:r>
        <w:rPr>
          <w:rFonts w:ascii="Times New Roman" w:hAnsi="Times New Roman" w:eastAsia="仿宋_GB2312" w:cs="Times New Roman"/>
          <w:bCs/>
          <w:color w:val="000000" w:themeColor="text1"/>
          <w:sz w:val="32"/>
          <w:szCs w:val="32"/>
          <w:highlight w:val="none"/>
          <w14:textFill>
            <w14:solidFill>
              <w14:schemeClr w14:val="tx1"/>
            </w14:solidFill>
          </w14:textFill>
        </w:rPr>
        <w:t>交通便利机制，逐步实现粤港澳大</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湾</w:t>
      </w:r>
      <w:r>
        <w:rPr>
          <w:rFonts w:hint="eastAsia" w:ascii="仿宋_GB2312" w:hAnsi="仿宋_GB2312" w:eastAsia="仿宋_GB2312" w:cs="仿宋_GB2312"/>
          <w:bCs w:val="0"/>
          <w:color w:val="000000" w:themeColor="text1"/>
          <w:kern w:val="0"/>
          <w:sz w:val="32"/>
          <w:szCs w:val="32"/>
          <w:highlight w:val="none"/>
          <w:lang w:val="zh-CN" w:bidi="ar"/>
          <w14:textFill>
            <w14:solidFill>
              <w14:schemeClr w14:val="tx1"/>
            </w14:solidFill>
          </w14:textFill>
        </w:rPr>
        <w:t>区“菜篮子”产</w:t>
      </w:r>
      <w:r>
        <w:rPr>
          <w:rFonts w:ascii="Times New Roman" w:hAnsi="Times New Roman" w:eastAsia="仿宋_GB2312" w:cs="Times New Roman"/>
          <w:bCs/>
          <w:color w:val="000000" w:themeColor="text1"/>
          <w:sz w:val="32"/>
          <w:szCs w:val="32"/>
          <w:highlight w:val="none"/>
          <w14:textFill>
            <w14:solidFill>
              <w14:schemeClr w14:val="tx1"/>
            </w14:solidFill>
          </w14:textFill>
        </w:rPr>
        <w:t>品运输车辆不受货车入城限行管制。</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加强与</w:t>
      </w:r>
      <w:r>
        <w:rPr>
          <w:rFonts w:ascii="Times New Roman" w:hAnsi="Times New Roman" w:eastAsia="仿宋_GB2312" w:cs="Times New Roman"/>
          <w:color w:val="000000" w:themeColor="text1"/>
          <w:sz w:val="32"/>
          <w:szCs w:val="32"/>
          <w:highlight w:val="none"/>
          <w14:textFill>
            <w14:solidFill>
              <w14:schemeClr w14:val="tx1"/>
            </w14:solidFill>
          </w14:textFill>
        </w:rPr>
        <w:t>省级交通管理部门</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的沟通联动</w:t>
      </w:r>
      <w:r>
        <w:rPr>
          <w:rFonts w:ascii="Times New Roman" w:hAnsi="Times New Roman" w:eastAsia="仿宋_GB2312" w:cs="Times New Roman"/>
          <w:color w:val="000000" w:themeColor="text1"/>
          <w:sz w:val="32"/>
          <w:szCs w:val="32"/>
          <w:highlight w:val="none"/>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完善</w:t>
      </w:r>
      <w:r>
        <w:rPr>
          <w:rFonts w:ascii="Times New Roman" w:hAnsi="Times New Roman" w:eastAsia="仿宋_GB2312" w:cs="Times New Roman"/>
          <w:color w:val="000000" w:themeColor="text1"/>
          <w:sz w:val="32"/>
          <w:szCs w:val="32"/>
          <w:highlight w:val="none"/>
          <w14:textFill>
            <w14:solidFill>
              <w14:schemeClr w14:val="tx1"/>
            </w14:solidFill>
          </w14:textFill>
        </w:rPr>
        <w:t>高速</w:t>
      </w:r>
      <w:bookmarkStart w:id="355" w:name="_GoBack"/>
      <w:bookmarkEnd w:id="355"/>
      <w:r>
        <w:rPr>
          <w:rFonts w:ascii="Times New Roman" w:hAnsi="Times New Roman" w:eastAsia="仿宋_GB2312" w:cs="Times New Roman"/>
          <w:color w:val="000000" w:themeColor="text1"/>
          <w:sz w:val="32"/>
          <w:szCs w:val="32"/>
          <w:highlight w:val="none"/>
          <w14:textFill>
            <w14:solidFill>
              <w14:schemeClr w14:val="tx1"/>
            </w14:solidFill>
          </w14:textFill>
        </w:rPr>
        <w:t>快速路收费站</w:t>
      </w:r>
      <w:r>
        <w:rPr>
          <w:rFonts w:hint="eastAsia" w:ascii="Times New Roman" w:hAnsi="Times New Roman" w:eastAsia="仿宋_GB2312" w:cs="Times New Roman"/>
          <w:color w:val="000000" w:themeColor="text1"/>
          <w:sz w:val="32"/>
          <w:szCs w:val="32"/>
          <w:highlight w:val="none"/>
          <w:lang w:eastAsia="zh-CN"/>
          <w14:textFill>
            <w14:solidFill>
              <w14:schemeClr w14:val="tx1"/>
            </w14:solidFill>
          </w14:textFill>
        </w:rPr>
        <w:t>鲜活农产品</w:t>
      </w:r>
      <w:r>
        <w:rPr>
          <w:rFonts w:ascii="Times New Roman" w:hAnsi="Times New Roman" w:eastAsia="仿宋_GB2312" w:cs="Times New Roman"/>
          <w:color w:val="000000" w:themeColor="text1"/>
          <w:sz w:val="32"/>
          <w:szCs w:val="32"/>
          <w:highlight w:val="none"/>
          <w14:textFill>
            <w14:solidFill>
              <w14:schemeClr w14:val="tx1"/>
            </w14:solidFill>
          </w14:textFill>
        </w:rPr>
        <w:t>绿色通道查验管理办法，争取优惠政策</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r>
        <w:rPr>
          <w:rFonts w:ascii="Times New Roman" w:hAnsi="Times New Roman" w:eastAsia="仿宋_GB2312" w:cs="Times New Roman"/>
          <w:color w:val="000000" w:themeColor="text1"/>
          <w:sz w:val="32"/>
          <w:szCs w:val="32"/>
          <w:highlight w:val="none"/>
          <w14:textFill>
            <w14:solidFill>
              <w14:schemeClr w14:val="tx1"/>
            </w14:solidFill>
          </w14:textFill>
        </w:rPr>
        <w:t>缩短通行时间</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w:t>
      </w:r>
      <w:bookmarkStart w:id="274" w:name="_Toc27759"/>
      <w:bookmarkStart w:id="275" w:name="_Toc2129"/>
      <w:bookmarkStart w:id="276" w:name="_Toc31452"/>
      <w:bookmarkStart w:id="277" w:name="_Toc27384"/>
      <w:bookmarkStart w:id="278" w:name="_Toc5653"/>
      <w:bookmarkStart w:id="279" w:name="_Toc8498"/>
      <w:bookmarkStart w:id="280" w:name="_Toc11976"/>
      <w:bookmarkStart w:id="281" w:name="_Toc9455"/>
      <w:bookmarkStart w:id="282" w:name="_Toc28961"/>
      <w:bookmarkStart w:id="283" w:name="_Toc23673"/>
      <w:bookmarkStart w:id="284" w:name="_Toc10349"/>
      <w:bookmarkStart w:id="285" w:name="_Toc27011"/>
    </w:p>
    <w:p>
      <w:pPr>
        <w:ind w:left="0" w:leftChars="0" w:firstLine="0" w:firstLineChars="0"/>
        <w:jc w:val="cente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第</w:t>
      </w:r>
      <w:r>
        <w:rPr>
          <w:rFonts w:hint="eastAsia"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六</w:t>
      </w:r>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章  加强宣传 推进品牌体系建设</w:t>
      </w:r>
      <w:bookmarkEnd w:id="274"/>
    </w:p>
    <w:p>
      <w:pPr>
        <w:ind w:firstLine="640" w:firstLineChars="200"/>
        <w:rPr>
          <w:rFonts w:hint="default" w:ascii="Times New Roman" w:hAnsi="Times New Roman" w:eastAsia="仿宋_GB2312" w:cs="Times New Roman"/>
          <w:color w:val="000000" w:themeColor="text1"/>
          <w:kern w:val="2"/>
          <w:sz w:val="32"/>
          <w:szCs w:val="22"/>
          <w:highlight w:val="none"/>
          <w:lang w:val="en-US" w:eastAsia="zh-CN" w:bidi="ar-SA"/>
          <w14:textFill>
            <w14:solidFill>
              <w14:schemeClr w14:val="tx1"/>
            </w14:solidFill>
          </w14:textFill>
        </w:rPr>
      </w:pPr>
    </w:p>
    <w:p>
      <w:pPr>
        <w:ind w:firstLine="640" w:firstLineChars="200"/>
        <w:rPr>
          <w:rFonts w:hint="default" w:ascii="Times New Roman" w:hAnsi="Times New Roman" w:eastAsia="仿宋_GB2312" w:cs="Times New Roman"/>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实施品牌战略</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推进品牌</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策划</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、培育、宣传和推广工作，</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打造</w:t>
      </w:r>
      <w:r>
        <w:rPr>
          <w:rFonts w:hint="eastAsia" w:ascii="仿宋_GB2312" w:hAnsi="仿宋_GB2312" w:eastAsia="仿宋_GB2312" w:cs="仿宋_GB2312"/>
          <w:bCs w:val="0"/>
          <w:color w:val="000000" w:themeColor="text1"/>
          <w:kern w:val="0"/>
          <w:sz w:val="32"/>
          <w:szCs w:val="32"/>
          <w:highlight w:val="none"/>
          <w:lang w:val="zh-CN" w:eastAsia="zh-CN" w:bidi="ar"/>
          <w14:textFill>
            <w14:solidFill>
              <w14:schemeClr w14:val="tx1"/>
            </w14:solidFill>
          </w14:textFill>
        </w:rPr>
        <w:t>“公共品牌+企业品牌+产品品牌”协同发展的粤港澳大湾区“菜篮子”品牌体系，提升</w:t>
      </w:r>
      <w:r>
        <w:rPr>
          <w:rFonts w:hint="eastAsia" w:ascii="仿宋_GB2312" w:hAnsi="仿宋_GB2312" w:eastAsia="仿宋_GB2312" w:cs="仿宋_GB2312"/>
          <w:bCs w:val="0"/>
          <w:color w:val="000000" w:themeColor="text1"/>
          <w:kern w:val="0"/>
          <w:sz w:val="32"/>
          <w:szCs w:val="32"/>
          <w:highlight w:val="none"/>
          <w:lang w:val="zh-CN" w:bidi="ar"/>
          <w14:textFill>
            <w14:solidFill>
              <w14:schemeClr w14:val="tx1"/>
            </w14:solidFill>
          </w14:textFill>
        </w:rPr>
        <w:t>粤港澳大湾</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区</w:t>
      </w:r>
      <w:r>
        <w:rPr>
          <w:rFonts w:hint="eastAsia" w:ascii="仿宋_GB2312" w:hAnsi="仿宋_GB2312" w:eastAsia="仿宋_GB2312" w:cs="仿宋_GB2312"/>
          <w:bCs w:val="0"/>
          <w:color w:val="000000" w:themeColor="text1"/>
          <w:kern w:val="0"/>
          <w:sz w:val="32"/>
          <w:szCs w:val="32"/>
          <w:highlight w:val="none"/>
          <w:lang w:val="zh-CN" w:bidi="ar"/>
          <w14:textFill>
            <w14:solidFill>
              <w14:schemeClr w14:val="tx1"/>
            </w14:solidFill>
          </w14:textFill>
        </w:rPr>
        <w:t>“菜篮子”</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品牌</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在</w:t>
      </w:r>
      <w:r>
        <w:rPr>
          <w:rFonts w:ascii="Times New Roman" w:hAnsi="Times New Roman" w:eastAsia="仿宋_GB2312" w:cs="Times New Roman"/>
          <w:bCs/>
          <w:color w:val="000000" w:themeColor="text1"/>
          <w:sz w:val="32"/>
          <w:szCs w:val="32"/>
          <w:highlight w:val="none"/>
          <w14:textFill>
            <w14:solidFill>
              <w14:schemeClr w14:val="tx1"/>
            </w14:solidFill>
          </w14:textFill>
        </w:rPr>
        <w:t>全国</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乃至全球的</w:t>
      </w:r>
      <w:r>
        <w:rPr>
          <w:rFonts w:ascii="Times New Roman" w:hAnsi="Times New Roman" w:eastAsia="仿宋_GB2312" w:cs="Times New Roman"/>
          <w:bCs/>
          <w:color w:val="000000" w:themeColor="text1"/>
          <w:sz w:val="32"/>
          <w:szCs w:val="32"/>
          <w:highlight w:val="none"/>
          <w14:textFill>
            <w14:solidFill>
              <w14:schemeClr w14:val="tx1"/>
            </w14:solidFill>
          </w14:textFill>
        </w:rPr>
        <w:t>知名</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度和影响力</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86" w:name="_Toc392"/>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一、强化粤港澳大湾区</w:t>
      </w:r>
      <w:r>
        <w:rPr>
          <w:rFonts w:hint="eastAsia" w:ascii="黑体" w:hAnsi="黑体" w:eastAsia="黑体" w:cs="黑体"/>
          <w:b w:val="0"/>
          <w:bCs w:val="0"/>
          <w:color w:val="000000" w:themeColor="text1"/>
          <w:kern w:val="0"/>
          <w:sz w:val="32"/>
          <w:szCs w:val="32"/>
          <w:highlight w:val="none"/>
          <w:lang w:val="zh-CN" w:eastAsia="zh-CN" w:bidi="ar"/>
          <w14:textFill>
            <w14:solidFill>
              <w14:schemeClr w14:val="tx1"/>
            </w14:solidFill>
          </w14:textFill>
        </w:rPr>
        <w:t>“</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菜篮子</w:t>
      </w:r>
      <w:r>
        <w:rPr>
          <w:rFonts w:hint="eastAsia" w:ascii="黑体" w:hAnsi="黑体" w:eastAsia="黑体" w:cs="黑体"/>
          <w:b w:val="0"/>
          <w:bCs w:val="0"/>
          <w:color w:val="000000" w:themeColor="text1"/>
          <w:kern w:val="0"/>
          <w:sz w:val="32"/>
          <w:szCs w:val="32"/>
          <w:highlight w:val="none"/>
          <w:lang w:val="zh-CN" w:eastAsia="zh-CN" w:bidi="ar"/>
          <w14:textFill>
            <w14:solidFill>
              <w14:schemeClr w14:val="tx1"/>
            </w14:solidFill>
          </w14:textFill>
        </w:rPr>
        <w:t>”</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品牌整体策划</w:t>
      </w:r>
      <w:bookmarkEnd w:id="286"/>
    </w:p>
    <w:p>
      <w:pPr>
        <w:ind w:firstLine="643" w:firstLineChars="200"/>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t>建立品牌发展机制。</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创建粤港澳大湾区</w:t>
      </w:r>
      <w:r>
        <w:rPr>
          <w:rFonts w:hint="eastAsia" w:ascii="仿宋_GB2312" w:hAnsi="仿宋_GB2312" w:eastAsia="仿宋_GB2312" w:cs="仿宋_GB2312"/>
          <w:bCs w:val="0"/>
          <w:color w:val="000000" w:themeColor="text1"/>
          <w:kern w:val="0"/>
          <w:sz w:val="32"/>
          <w:szCs w:val="32"/>
          <w:highlight w:val="none"/>
          <w:lang w:val="zh-CN" w:eastAsia="zh-CN" w:bidi="ar"/>
          <w14:textFill>
            <w14:solidFill>
              <w14:schemeClr w14:val="tx1"/>
            </w14:solidFill>
          </w14:textFill>
        </w:rPr>
        <w:t>“菜篮子”公</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共品牌，对品牌定位、品牌理念、</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品牌运营、</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符号系统、渠道构建、传播策略等进行全面策划。探索建立由政府创牌、协会注册、</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市场主体</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运营的品牌运营机制</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t>形成</w:t>
      </w:r>
      <w:r>
        <w:rPr>
          <w:rFonts w:hint="eastAsia"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t>平台+企业+产品</w:t>
      </w:r>
      <w:r>
        <w:rPr>
          <w:rFonts w:hint="eastAsia"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t>价值链。</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引导</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生产</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基地</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及相关主体加入粤港澳大湾区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品牌体系，鼓励生产、流通主体在产品包装上印制粤港澳大湾区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菜篮子</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品牌logo，实现公共品牌作为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母品牌</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，企业、产品品牌作为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“子品牌”，以“母鸡带小鸡”双</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商标方式运营，有效增加农产品的信誉度和附加值。</w:t>
      </w:r>
      <w:r>
        <w:rPr>
          <w:rFonts w:hint="default" w:ascii="Times New Roman" w:hAnsi="Times New Roman" w:eastAsia="仿宋_GB2312" w:cs="Times New Roman"/>
          <w:b/>
          <w:bCs/>
          <w:color w:val="000000" w:themeColor="text1"/>
          <w:sz w:val="32"/>
          <w:szCs w:val="22"/>
          <w:highlight w:val="none"/>
          <w:lang w:val="en-US" w:eastAsia="zh-CN"/>
          <w14:textFill>
            <w14:solidFill>
              <w14:schemeClr w14:val="tx1"/>
            </w14:solidFill>
          </w14:textFill>
        </w:rPr>
        <w:t>发挥品牌示范效应。</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从生产基地标准化水平、质量安全管理水平、产业经营品牌化水平、消费者评价水平和社会诚信水平等方面，建设一批示范性生产基地和市场平台，打造粤港澳大湾区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安全优质的核心品牌形象。</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87" w:name="_Toc4209"/>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二、建立品牌准入、准出机制</w:t>
      </w:r>
      <w:bookmarkEnd w:id="287"/>
    </w:p>
    <w:p>
      <w:pPr>
        <w:widowControl/>
        <w:ind w:firstLine="640" w:firstLineChars="200"/>
        <w:jc w:val="left"/>
        <w:rPr>
          <w:rFonts w:hint="eastAsia" w:ascii="Times New Roman" w:hAnsi="Times New Roman" w:eastAsia="仿宋_GB2312"/>
          <w:bCs/>
          <w:color w:val="000000" w:themeColor="text1"/>
          <w:sz w:val="32"/>
          <w:szCs w:val="32"/>
          <w:highlight w:val="none"/>
          <w:lang w:val="en-US" w:eastAsia="zh-CN"/>
          <w14:textFill>
            <w14:solidFill>
              <w14:schemeClr w14:val="tx1"/>
            </w14:solidFill>
          </w14:textFill>
        </w:rPr>
      </w:pPr>
      <w:r>
        <w:rPr>
          <w:rFonts w:ascii="Times New Roman" w:hAnsi="Times New Roman" w:eastAsia="仿宋_GB2312" w:cs="Times New Roman"/>
          <w:bCs w:val="0"/>
          <w:i w:val="0"/>
          <w:iCs w:val="0"/>
          <w:caps w:val="0"/>
          <w:color w:val="000000" w:themeColor="text1"/>
          <w:spacing w:val="0"/>
          <w:sz w:val="32"/>
          <w:szCs w:val="22"/>
          <w:highlight w:val="none"/>
          <w:shd w:val="clear"/>
          <w14:textFill>
            <w14:solidFill>
              <w14:schemeClr w14:val="tx1"/>
            </w14:solidFill>
          </w14:textFill>
        </w:rPr>
        <w:t>严把质量关</w:t>
      </w:r>
      <w:r>
        <w:rPr>
          <w:rFonts w:hint="default" w:ascii="Times New Roman" w:hAnsi="Times New Roman" w:eastAsia="仿宋_GB2312" w:cs="Times New Roman"/>
          <w:bCs w:val="0"/>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bCs w:val="0"/>
          <w:color w:val="000000" w:themeColor="text1"/>
          <w:sz w:val="32"/>
          <w:szCs w:val="22"/>
          <w:highlight w:val="none"/>
          <w:lang w:val="en-US" w:eastAsia="zh-CN"/>
          <w14:textFill>
            <w14:solidFill>
              <w14:schemeClr w14:val="tx1"/>
            </w14:solidFill>
          </w14:textFill>
        </w:rPr>
        <w:t>建立</w:t>
      </w:r>
      <w:r>
        <w:rPr>
          <w:rFonts w:hint="default" w:ascii="Times New Roman" w:hAnsi="Times New Roman" w:eastAsia="仿宋_GB2312"/>
          <w:bCs w:val="0"/>
          <w:color w:val="000000" w:themeColor="text1"/>
          <w:sz w:val="32"/>
          <w:szCs w:val="22"/>
          <w:highlight w:val="none"/>
          <w:lang w:val="en-US" w:eastAsia="zh-CN"/>
          <w14:textFill>
            <w14:solidFill>
              <w14:schemeClr w14:val="tx1"/>
            </w14:solidFill>
          </w14:textFill>
        </w:rPr>
        <w:t>平台</w:t>
      </w:r>
      <w:r>
        <w:rPr>
          <w:rFonts w:hint="eastAsia" w:ascii="Times New Roman" w:hAnsi="Times New Roman" w:eastAsia="仿宋_GB2312"/>
          <w:bCs w:val="0"/>
          <w:color w:val="000000" w:themeColor="text1"/>
          <w:sz w:val="32"/>
          <w:szCs w:val="22"/>
          <w:highlight w:val="none"/>
          <w:lang w:val="en-US" w:eastAsia="zh-CN"/>
          <w14:textFill>
            <w14:solidFill>
              <w14:schemeClr w14:val="tx1"/>
            </w14:solidFill>
          </w14:textFill>
        </w:rPr>
        <w:t>标准引领的品牌保护</w:t>
      </w:r>
      <w:r>
        <w:rPr>
          <w:rFonts w:hint="default" w:ascii="Times New Roman" w:hAnsi="Times New Roman" w:eastAsia="仿宋_GB2312"/>
          <w:bCs w:val="0"/>
          <w:color w:val="000000" w:themeColor="text1"/>
          <w:sz w:val="32"/>
          <w:szCs w:val="22"/>
          <w:highlight w:val="none"/>
          <w:lang w:val="en-US" w:eastAsia="zh-CN"/>
          <w14:textFill>
            <w14:solidFill>
              <w14:schemeClr w14:val="tx1"/>
            </w14:solidFill>
          </w14:textFill>
        </w:rPr>
        <w:t>机制，</w:t>
      </w:r>
      <w:r>
        <w:rPr>
          <w:rFonts w:hint="eastAsia"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督促指导</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生产基地、配送</w:t>
      </w:r>
      <w:r>
        <w:rPr>
          <w:rFonts w:hint="eastAsia" w:ascii="Times New Roman" w:hAnsi="Times New Roman" w:eastAsia="仿宋_GB2312" w:cs="Times New Roman"/>
          <w:color w:val="auto"/>
          <w:sz w:val="32"/>
          <w:szCs w:val="22"/>
          <w:highlight w:val="none"/>
          <w:lang w:val="en-US" w:eastAsia="zh-CN"/>
        </w:rPr>
        <w:t>（分）</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中心、交易中心等相关主体规范使用粤港澳大湾区</w:t>
      </w:r>
      <w:r>
        <w:rPr>
          <w:rFonts w:hint="eastAsia" w:ascii="Times New Roman" w:hAnsi="Times New Roman" w:eastAsia="仿宋_GB2312" w:cs="Times New Roman"/>
          <w:bCs w:val="0"/>
          <w:color w:val="000000" w:themeColor="text1"/>
          <w:kern w:val="2"/>
          <w:sz w:val="32"/>
          <w:szCs w:val="22"/>
          <w:highlight w:val="none"/>
          <w:lang w:val="en-US" w:eastAsia="zh-CN" w:bidi="ar"/>
          <w14:textFill>
            <w14:solidFill>
              <w14:schemeClr w14:val="tx1"/>
            </w14:solidFill>
          </w14:textFill>
        </w:rPr>
        <w:t>“</w:t>
      </w:r>
      <w:r>
        <w:rPr>
          <w:rFonts w:hint="default" w:ascii="Times New Roman" w:hAnsi="Times New Roman" w:eastAsia="仿宋_GB2312" w:cs="Times New Roman"/>
          <w:bCs w:val="0"/>
          <w:color w:val="000000" w:themeColor="text1"/>
          <w:kern w:val="2"/>
          <w:sz w:val="32"/>
          <w:szCs w:val="22"/>
          <w:highlight w:val="none"/>
          <w:lang w:val="en-US" w:eastAsia="zh-CN" w:bidi="ar"/>
          <w14:textFill>
            <w14:solidFill>
              <w14:schemeClr w14:val="tx1"/>
            </w14:solidFill>
          </w14:textFill>
        </w:rPr>
        <w:t>菜篮子</w:t>
      </w:r>
      <w:r>
        <w:rPr>
          <w:rFonts w:hint="eastAsia" w:ascii="Times New Roman" w:hAnsi="Times New Roman" w:eastAsia="仿宋_GB2312" w:cs="Times New Roman"/>
          <w:bCs w:val="0"/>
          <w:color w:val="000000" w:themeColor="text1"/>
          <w:kern w:val="2"/>
          <w:sz w:val="32"/>
          <w:szCs w:val="22"/>
          <w:highlight w:val="none"/>
          <w:lang w:val="en-US" w:eastAsia="zh-CN" w:bidi="ar"/>
          <w14:textFill>
            <w14:solidFill>
              <w14:schemeClr w14:val="tx1"/>
            </w14:solidFill>
          </w14:textFill>
        </w:rPr>
        <w:t>”</w:t>
      </w:r>
      <w:r>
        <w:rPr>
          <w:rFonts w:hint="default" w:ascii="Times New Roman" w:hAnsi="Times New Roman" w:eastAsia="仿宋_GB2312" w:cs="Times New Roman"/>
          <w:bCs w:val="0"/>
          <w:color w:val="000000" w:themeColor="text1"/>
          <w:kern w:val="2"/>
          <w:sz w:val="32"/>
          <w:szCs w:val="22"/>
          <w:highlight w:val="none"/>
          <w:lang w:val="en-US" w:eastAsia="zh-CN" w:bidi="ar"/>
          <w14:textFill>
            <w14:solidFill>
              <w14:schemeClr w14:val="tx1"/>
            </w14:solidFill>
          </w14:textFill>
        </w:rPr>
        <w:t>品牌</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标识。</w:t>
      </w:r>
      <w:r>
        <w:rPr>
          <w:rFonts w:hint="eastAsia"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强化对品牌标识的</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抽查核查，对不规范使用</w:t>
      </w:r>
      <w:r>
        <w:rPr>
          <w:rFonts w:hint="eastAsia"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品牌标识</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行为</w:t>
      </w:r>
      <w:r>
        <w:rPr>
          <w:rFonts w:hint="eastAsia"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的主体</w:t>
      </w:r>
      <w:r>
        <w:rPr>
          <w:rFonts w:hint="default" w:ascii="Times New Roman" w:hAnsi="Times New Roman" w:eastAsia="仿宋_GB2312" w:cs="Times New Roman"/>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i w:val="0"/>
          <w:iCs w:val="0"/>
          <w:caps w:val="0"/>
          <w:color w:val="000000" w:themeColor="text1"/>
          <w:spacing w:val="0"/>
          <w:sz w:val="32"/>
          <w:szCs w:val="22"/>
          <w:highlight w:val="none"/>
          <w:shd w:val="clear"/>
          <w14:textFill>
            <w14:solidFill>
              <w14:schemeClr w14:val="tx1"/>
            </w14:solidFill>
          </w14:textFill>
        </w:rPr>
        <w:t>限期整改</w:t>
      </w:r>
      <w:r>
        <w:rPr>
          <w:rFonts w:hint="eastAsia" w:ascii="Times New Roman" w:hAnsi="Times New Roman" w:eastAsia="仿宋_GB2312" w:cs="Times New Roman"/>
          <w:i w:val="0"/>
          <w:iCs w:val="0"/>
          <w:caps w:val="0"/>
          <w:color w:val="000000" w:themeColor="text1"/>
          <w:spacing w:val="0"/>
          <w:sz w:val="32"/>
          <w:szCs w:val="22"/>
          <w:highlight w:val="none"/>
          <w:shd w:val="clear"/>
          <w:lang w:eastAsia="zh-CN"/>
          <w14:textFill>
            <w14:solidFill>
              <w14:schemeClr w14:val="tx1"/>
            </w14:solidFill>
          </w14:textFill>
        </w:rPr>
        <w:t>；</w:t>
      </w:r>
      <w:r>
        <w:rPr>
          <w:rFonts w:hint="eastAsia" w:ascii="Times New Roman" w:hAnsi="Times New Roman" w:eastAsia="仿宋_GB2312" w:cs="Times New Roman"/>
          <w:i w:val="0"/>
          <w:iCs w:val="0"/>
          <w:caps w:val="0"/>
          <w:color w:val="000000" w:themeColor="text1"/>
          <w:spacing w:val="0"/>
          <w:sz w:val="32"/>
          <w:szCs w:val="22"/>
          <w:highlight w:val="none"/>
          <w:shd w:val="clear"/>
          <w:lang w:val="en-US" w:eastAsia="zh-CN"/>
          <w14:textFill>
            <w14:solidFill>
              <w14:schemeClr w14:val="tx1"/>
            </w14:solidFill>
          </w14:textFill>
        </w:rPr>
        <w:t>对未经</w:t>
      </w:r>
      <w:r>
        <w:rPr>
          <w:rFonts w:hint="default" w:ascii="Times New Roman" w:hAnsi="Times New Roman" w:eastAsia="仿宋_GB2312" w:cs="Times New Roman"/>
          <w:bCs/>
          <w:i w:val="0"/>
          <w:iCs w:val="0"/>
          <w:caps w:val="0"/>
          <w:color w:val="000000" w:themeColor="text1"/>
          <w:spacing w:val="0"/>
          <w:sz w:val="32"/>
          <w:szCs w:val="32"/>
          <w:highlight w:val="none"/>
          <w:shd w:val="clear"/>
          <w14:textFill>
            <w14:solidFill>
              <w14:schemeClr w14:val="tx1"/>
            </w14:solidFill>
          </w14:textFill>
        </w:rPr>
        <w:t>批准擅自使用</w:t>
      </w:r>
      <w:r>
        <w:rPr>
          <w:rFonts w:hint="default" w:ascii="Times New Roman" w:hAnsi="Times New Roman" w:eastAsia="仿宋_GB2312" w:cs="Times New Roman"/>
          <w:bCs/>
          <w:i w:val="0"/>
          <w:iCs w:val="0"/>
          <w:caps w:val="0"/>
          <w:color w:val="000000" w:themeColor="text1"/>
          <w:spacing w:val="0"/>
          <w:sz w:val="32"/>
          <w:szCs w:val="32"/>
          <w:highlight w:val="none"/>
          <w:shd w:val="clear"/>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bCs/>
          <w:i w:val="0"/>
          <w:iCs w:val="0"/>
          <w:caps w:val="0"/>
          <w:color w:val="000000" w:themeColor="text1"/>
          <w:spacing w:val="0"/>
          <w:sz w:val="32"/>
          <w:szCs w:val="32"/>
          <w:highlight w:val="none"/>
          <w:shd w:val="clear"/>
          <w14:textFill>
            <w14:solidFill>
              <w14:schemeClr w14:val="tx1"/>
            </w14:solidFill>
          </w14:textFill>
        </w:rPr>
        <w:t>品牌的，责令其停止侵权行为</w:t>
      </w:r>
      <w:r>
        <w:rPr>
          <w:rFonts w:hint="default" w:ascii="Times New Roman" w:hAnsi="Times New Roman" w:eastAsia="仿宋_GB2312" w:cs="Times New Roman"/>
          <w:bCs/>
          <w:i w:val="0"/>
          <w:iCs w:val="0"/>
          <w:caps w:val="0"/>
          <w:color w:val="000000" w:themeColor="text1"/>
          <w:spacing w:val="0"/>
          <w:sz w:val="32"/>
          <w:szCs w:val="32"/>
          <w:highlight w:val="none"/>
          <w:shd w:val="clear"/>
          <w:lang w:eastAsia="zh-CN"/>
          <w14:textFill>
            <w14:solidFill>
              <w14:schemeClr w14:val="tx1"/>
            </w14:solidFill>
          </w14:textFill>
        </w:rPr>
        <w:t>，</w:t>
      </w:r>
      <w:r>
        <w:rPr>
          <w:rFonts w:hint="default" w:ascii="Times New Roman" w:hAnsi="Times New Roman" w:eastAsia="仿宋_GB2312" w:cs="Times New Roman"/>
          <w:bCs/>
          <w:i w:val="0"/>
          <w:iCs w:val="0"/>
          <w:caps w:val="0"/>
          <w:color w:val="000000" w:themeColor="text1"/>
          <w:spacing w:val="0"/>
          <w:sz w:val="32"/>
          <w:szCs w:val="32"/>
          <w:highlight w:val="none"/>
          <w:shd w:val="clear"/>
          <w14:textFill>
            <w14:solidFill>
              <w14:schemeClr w14:val="tx1"/>
            </w14:solidFill>
          </w14:textFill>
        </w:rPr>
        <w:t>构成犯罪的，依法追究刑事责任。</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鼓励单位和个人对粤港澳大湾区</w:t>
      </w:r>
      <w:r>
        <w:rPr>
          <w:rFonts w:hint="eastAsia" w:ascii="仿宋_GB2312" w:hAnsi="仿宋_GB2312" w:eastAsia="仿宋_GB2312" w:cs="仿宋_GB2312"/>
          <w:bCs w:val="0"/>
          <w:color w:val="000000" w:themeColor="text1"/>
          <w:kern w:val="0"/>
          <w:sz w:val="32"/>
          <w:szCs w:val="32"/>
          <w:highlight w:val="none"/>
          <w:lang w:val="zh-CN" w:eastAsia="zh-CN" w:bidi="ar"/>
          <w14:textFill>
            <w14:solidFill>
              <w14:schemeClr w14:val="tx1"/>
            </w14:solidFill>
          </w14:textFill>
        </w:rPr>
        <w:t>“菜篮子”</w:t>
      </w:r>
      <w:r>
        <w:rPr>
          <w:rFonts w:hint="eastAsia" w:ascii="仿宋_GB2312" w:hAnsi="仿宋_GB2312" w:eastAsia="仿宋_GB2312" w:cs="仿宋_GB2312"/>
          <w:bCs w:val="0"/>
          <w:color w:val="000000" w:themeColor="text1"/>
          <w:kern w:val="0"/>
          <w:sz w:val="32"/>
          <w:szCs w:val="32"/>
          <w:highlight w:val="none"/>
          <w:lang w:val="en-US" w:eastAsia="zh-CN" w:bidi="ar"/>
          <w14:textFill>
            <w14:solidFill>
              <w14:schemeClr w14:val="tx1"/>
            </w14:solidFill>
          </w14:textFill>
        </w:rPr>
        <w:t>品牌</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和产品标识使用情况进行社会监督，对违规使用者</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实施督促整改、禁入或</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依法查处</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等措施</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Cs/>
          <w:i w:val="0"/>
          <w:iCs w:val="0"/>
          <w:caps w:val="0"/>
          <w:color w:val="000000" w:themeColor="text1"/>
          <w:spacing w:val="0"/>
          <w:sz w:val="32"/>
          <w:szCs w:val="32"/>
          <w:highlight w:val="none"/>
          <w:shd w:val="clear"/>
          <w14:textFill>
            <w14:solidFill>
              <w14:schemeClr w14:val="tx1"/>
            </w14:solidFill>
          </w14:textFill>
        </w:rPr>
        <w:t>加大对</w:t>
      </w:r>
      <w:r>
        <w:rPr>
          <w:rFonts w:hint="eastAsia" w:ascii="Times New Roman" w:hAnsi="Times New Roman" w:eastAsia="仿宋_GB2312" w:cs="Times New Roman"/>
          <w:bCs/>
          <w:i w:val="0"/>
          <w:iCs w:val="0"/>
          <w:caps w:val="0"/>
          <w:color w:val="000000" w:themeColor="text1"/>
          <w:spacing w:val="0"/>
          <w:sz w:val="32"/>
          <w:szCs w:val="32"/>
          <w:highlight w:val="none"/>
          <w:shd w:val="clear"/>
          <w:lang w:val="en-US" w:eastAsia="zh-CN"/>
          <w14:textFill>
            <w14:solidFill>
              <w14:schemeClr w14:val="tx1"/>
            </w14:solidFill>
          </w14:textFill>
        </w:rPr>
        <w:t>各主体</w:t>
      </w:r>
      <w:r>
        <w:rPr>
          <w:rFonts w:hint="eastAsia" w:ascii="Times New Roman" w:hAnsi="Times New Roman" w:eastAsia="仿宋_GB2312" w:cs="Times New Roman"/>
          <w:bCs/>
          <w:i w:val="0"/>
          <w:iCs w:val="0"/>
          <w:caps w:val="0"/>
          <w:color w:val="000000" w:themeColor="text1"/>
          <w:spacing w:val="0"/>
          <w:sz w:val="32"/>
          <w:szCs w:val="32"/>
          <w:highlight w:val="none"/>
          <w:shd w:val="clear"/>
          <w14:textFill>
            <w14:solidFill>
              <w14:schemeClr w14:val="tx1"/>
            </w14:solidFill>
          </w14:textFill>
        </w:rPr>
        <w:t>的宣传教育力度，增强</w:t>
      </w:r>
      <w:r>
        <w:rPr>
          <w:rFonts w:hint="eastAsia" w:ascii="Times New Roman" w:hAnsi="Times New Roman" w:eastAsia="仿宋_GB2312" w:cs="Times New Roman"/>
          <w:bCs/>
          <w:i w:val="0"/>
          <w:iCs w:val="0"/>
          <w:caps w:val="0"/>
          <w:color w:val="000000" w:themeColor="text1"/>
          <w:spacing w:val="0"/>
          <w:sz w:val="32"/>
          <w:szCs w:val="32"/>
          <w:highlight w:val="none"/>
          <w:shd w:val="clear"/>
          <w:lang w:val="en-US" w:eastAsia="zh-CN"/>
          <w14:textFill>
            <w14:solidFill>
              <w14:schemeClr w14:val="tx1"/>
            </w14:solidFill>
          </w14:textFill>
        </w:rPr>
        <w:t>主体</w:t>
      </w:r>
      <w:r>
        <w:rPr>
          <w:rFonts w:hint="eastAsia" w:ascii="Times New Roman" w:hAnsi="Times New Roman" w:eastAsia="仿宋_GB2312" w:cs="Times New Roman"/>
          <w:bCs/>
          <w:i w:val="0"/>
          <w:iCs w:val="0"/>
          <w:caps w:val="0"/>
          <w:color w:val="000000" w:themeColor="text1"/>
          <w:spacing w:val="0"/>
          <w:sz w:val="32"/>
          <w:szCs w:val="32"/>
          <w:highlight w:val="none"/>
          <w:shd w:val="clear"/>
          <w14:textFill>
            <w14:solidFill>
              <w14:schemeClr w14:val="tx1"/>
            </w14:solidFill>
          </w14:textFill>
        </w:rPr>
        <w:t>的品牌保护意识，形成自我发展、自我约束、自我积累的良性机制。</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288" w:name="_Toc14671"/>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三、加强品牌宣传推广</w:t>
      </w:r>
      <w:bookmarkEnd w:id="288"/>
    </w:p>
    <w:p>
      <w:pPr>
        <w:ind w:firstLine="640" w:firstLineChars="200"/>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用好线上线下全媒体手段，统筹开展</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品牌营销，讲好品牌故事，挖掘品牌价值。</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积极</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举办粤港澳大湾区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生产和产品加工</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基地品鉴会、供需推介大会、采购商进基地等活动，组织基地、企业参加国家、省农博会等展览会、展销会等大型展览交易活动，依托</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中国农民丰收节</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等大型农业节庆活动及各地举办的推介农业产业的各类文化节庆活动等平台，宣传粤港澳大湾区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“菜篮子”公</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共品牌和产品品牌，提升品牌的影响力和竞争力，打造全球知名</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的“菜篮子”品牌</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。支持相关主体积极参加广东省农产品</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12221</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市场体系建设，紧抓RCEP机遇，开展粤港澳大湾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品牌国内外宣传推介活动，有效维护</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粤</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“菜篮子”产</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品供应链畅通、促进产销良性联动，实现粤港澳大湾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品牌增值效应。争取国家、省支持，利用高铁、机场等媒体宣传资源，开展粤港澳大湾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区“菜篮子”公</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共品牌公益宣传推广活动。</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强化属地管理部门品牌意识，加大对</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品牌</w:t>
      </w:r>
      <w:r>
        <w:rPr>
          <w:rFonts w:hint="eastAsia" w:ascii="Times New Roman" w:hAnsi="Times New Roman" w:eastAsia="仿宋_GB2312" w:cs="Times New Roman"/>
          <w:color w:val="000000" w:themeColor="text1"/>
          <w:sz w:val="32"/>
          <w:szCs w:val="22"/>
          <w:highlight w:val="none"/>
          <w:lang w:val="en-US" w:eastAsia="zh-CN"/>
          <w14:textFill>
            <w14:solidFill>
              <w14:schemeClr w14:val="tx1"/>
            </w14:solidFill>
          </w14:textFill>
        </w:rPr>
        <w:t>的宣传力度。</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鼓励企业利用互联网、电子商务和新媒体等多种手段，以搭建农产品直播间、</w:t>
      </w:r>
      <w:r>
        <w:rPr>
          <w:rFonts w:hint="default" w:ascii="Times New Roman" w:hAnsi="Times New Roman" w:eastAsia="仿宋_GB2312" w:cs="Times New Roman"/>
          <w:color w:val="000000" w:themeColor="text1"/>
          <w:sz w:val="32"/>
          <w:szCs w:val="24"/>
          <w:highlight w:val="none"/>
          <w:lang w:eastAsia="zh-CN"/>
          <w14:textFill>
            <w14:solidFill>
              <w14:schemeClr w14:val="tx1"/>
            </w14:solidFill>
          </w14:textFill>
        </w:rPr>
        <w:t>短视频</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等形式，开展品牌推广。</w:t>
      </w:r>
    </w:p>
    <w:p>
      <w:pPr>
        <w:rPr>
          <w:rFonts w:hint="default"/>
          <w:color w:val="000000" w:themeColor="text1"/>
          <w:highlight w:val="none"/>
          <w:lang w:val="en-US" w:eastAsia="zh-CN"/>
          <w14:textFill>
            <w14:solidFill>
              <w14:schemeClr w14:val="tx1"/>
            </w14:solidFill>
          </w14:textFill>
        </w:rPr>
      </w:pPr>
    </w:p>
    <w:p>
      <w:pPr>
        <w:ind w:firstLine="640" w:firstLineChars="200"/>
        <w:rPr>
          <w:rFonts w:hint="default" w:ascii="Times New Roman" w:hAnsi="Times New Roman" w:eastAsia="仿宋_GB2312"/>
          <w:color w:val="000000" w:themeColor="text1"/>
          <w:sz w:val="32"/>
          <w:szCs w:val="22"/>
          <w:highlight w:val="none"/>
          <w:lang w:val="en-US" w:eastAsia="zh-CN"/>
          <w14:textFill>
            <w14:solidFill>
              <w14:schemeClr w14:val="tx1"/>
            </w14:solidFill>
          </w14:textFill>
        </w:rPr>
        <w:sectPr>
          <w:pgSz w:w="11906" w:h="16838"/>
          <w:pgMar w:top="2098" w:right="1474" w:bottom="1984"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100" w:after="100" w:line="360" w:lineRule="auto"/>
        <w:jc w:val="center"/>
        <w:textAlignment w:val="auto"/>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bookmarkStart w:id="289" w:name="_Toc15705"/>
      <w: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t>第七章  强化保障 健全规划有序实施机制</w:t>
      </w:r>
      <w:bookmarkEnd w:id="275"/>
      <w:bookmarkEnd w:id="276"/>
      <w:bookmarkEnd w:id="277"/>
      <w:bookmarkEnd w:id="278"/>
      <w:bookmarkEnd w:id="279"/>
      <w:bookmarkEnd w:id="280"/>
      <w:bookmarkEnd w:id="281"/>
      <w:bookmarkEnd w:id="282"/>
      <w:bookmarkEnd w:id="283"/>
      <w:bookmarkEnd w:id="284"/>
      <w:bookmarkEnd w:id="285"/>
      <w:bookmarkEnd w:id="289"/>
    </w:p>
    <w:p>
      <w:pPr>
        <w:ind w:firstLine="640" w:firstLineChars="200"/>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p>
    <w:p>
      <w:pPr>
        <w:ind w:firstLine="640" w:firstLineChars="200"/>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加强组织领导，健全政策协调和工作协同机制，充分发挥政府引导、企业主导作用，积极调动全社会共同参与，形成推动粤港澳大湾</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区“菜篮子”工程</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建设的强大合力，确保规划有序实施。</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Times New Roman" w:hAnsi="Times New Roman" w:eastAsia="楷体_GB2312" w:cs="Times New Roman"/>
          <w:color w:val="000000" w:themeColor="text1"/>
          <w:sz w:val="32"/>
          <w:szCs w:val="32"/>
          <w:highlight w:val="none"/>
          <w:lang w:val="en-US" w:eastAsia="zh-CN"/>
          <w14:textFill>
            <w14:solidFill>
              <w14:schemeClr w14:val="tx1"/>
            </w14:solidFill>
          </w14:textFill>
        </w:rPr>
      </w:pPr>
      <w:bookmarkStart w:id="290" w:name="_Toc19139"/>
      <w:bookmarkStart w:id="291" w:name="_Toc1105"/>
      <w:bookmarkStart w:id="292" w:name="_Toc23654"/>
      <w:bookmarkStart w:id="293" w:name="_Toc27863"/>
      <w:bookmarkStart w:id="294" w:name="_Toc26448"/>
      <w:bookmarkStart w:id="295" w:name="_Toc18544"/>
      <w:bookmarkStart w:id="296" w:name="_Toc15613"/>
      <w:bookmarkStart w:id="297" w:name="_Toc3365"/>
      <w:bookmarkStart w:id="298" w:name="_Toc1748"/>
      <w:bookmarkStart w:id="299" w:name="_Toc30460"/>
      <w:bookmarkStart w:id="300" w:name="_Toc28823"/>
      <w:bookmarkStart w:id="301" w:name="_Toc12490"/>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一、</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加强组织领导</w:t>
      </w:r>
      <w:bookmarkEnd w:id="290"/>
      <w:bookmarkEnd w:id="291"/>
      <w:bookmarkEnd w:id="292"/>
      <w:bookmarkEnd w:id="293"/>
      <w:bookmarkEnd w:id="294"/>
      <w:bookmarkEnd w:id="295"/>
      <w:bookmarkEnd w:id="296"/>
      <w:bookmarkEnd w:id="297"/>
      <w:bookmarkEnd w:id="298"/>
      <w:bookmarkEnd w:id="299"/>
      <w:bookmarkEnd w:id="300"/>
      <w:bookmarkEnd w:id="301"/>
    </w:p>
    <w:p>
      <w:pPr>
        <w:ind w:firstLine="64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建立</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健全</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粤港澳大湾区</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“菜篮子”工</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作办公室</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统筹协调</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、其他相关城市农业农村</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行政主管</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部门配合、社会力量积极支持、农民群众广泛参与的推进机制。建立健全专</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班</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制度，加强部门间规划衔接、政策配套和工作协同。明确各</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合作</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地级市农业农村</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行政</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主管部门支持粤港澳大湾</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区“菜篮子”工</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程建设的职责，</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加强属地管理责任意识，</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形成上下一致、左右同心共同推进工程建设的新局面。</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302" w:name="_Toc30289"/>
      <w:bookmarkStart w:id="303" w:name="_Toc30832"/>
      <w:bookmarkStart w:id="304" w:name="_Toc23827"/>
      <w:bookmarkStart w:id="305" w:name="_Toc29628"/>
      <w:bookmarkStart w:id="306" w:name="_Toc16650"/>
      <w:bookmarkStart w:id="307" w:name="_Toc135"/>
      <w:bookmarkStart w:id="308" w:name="_Toc22238"/>
      <w:bookmarkStart w:id="309" w:name="_Toc23134"/>
      <w:bookmarkStart w:id="310" w:name="_Toc23219"/>
      <w:bookmarkStart w:id="311" w:name="_Toc8063"/>
      <w:bookmarkStart w:id="312" w:name="_Toc24880"/>
      <w:bookmarkStart w:id="313" w:name="_Toc26077"/>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二、</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加大政策扶持</w:t>
      </w:r>
      <w:bookmarkEnd w:id="302"/>
      <w:bookmarkEnd w:id="303"/>
      <w:bookmarkEnd w:id="304"/>
      <w:bookmarkEnd w:id="305"/>
      <w:bookmarkEnd w:id="306"/>
      <w:bookmarkEnd w:id="307"/>
      <w:bookmarkEnd w:id="308"/>
      <w:bookmarkEnd w:id="309"/>
      <w:bookmarkEnd w:id="310"/>
      <w:bookmarkEnd w:id="311"/>
      <w:bookmarkEnd w:id="312"/>
      <w:bookmarkEnd w:id="313"/>
    </w:p>
    <w:p>
      <w:pPr>
        <w:ind w:firstLine="643" w:firstLineChars="200"/>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22"/>
          <w:highlight w:val="none"/>
          <w:lang w:val="en-US" w:eastAsia="zh-CN"/>
          <w14:textFill>
            <w14:solidFill>
              <w14:schemeClr w14:val="tx1"/>
            </w14:solidFill>
          </w14:textFill>
        </w:rPr>
        <w:t>健全投入保障机制。</w:t>
      </w:r>
      <w:r>
        <w:rPr>
          <w:rFonts w:ascii="Times New Roman" w:hAnsi="Times New Roman" w:eastAsia="仿宋_GB2312" w:cs="Times New Roman"/>
          <w:bCs/>
          <w:color w:val="000000" w:themeColor="text1"/>
          <w:sz w:val="32"/>
          <w:szCs w:val="32"/>
          <w:highlight w:val="none"/>
          <w14:textFill>
            <w14:solidFill>
              <w14:schemeClr w14:val="tx1"/>
            </w14:solidFill>
          </w14:textFill>
        </w:rPr>
        <w:t>积极</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争取</w:t>
      </w:r>
      <w:r>
        <w:rPr>
          <w:rFonts w:ascii="Times New Roman" w:hAnsi="Times New Roman" w:eastAsia="仿宋_GB2312" w:cs="Times New Roman"/>
          <w:bCs/>
          <w:color w:val="000000" w:themeColor="text1"/>
          <w:sz w:val="32"/>
          <w:szCs w:val="32"/>
          <w:highlight w:val="none"/>
          <w14:textFill>
            <w14:solidFill>
              <w14:schemeClr w14:val="tx1"/>
            </w14:solidFill>
          </w14:textFill>
        </w:rPr>
        <w:t>国家和省有关部门</w:t>
      </w:r>
      <w:r>
        <w:rPr>
          <w:rFonts w:hint="default"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支持，</w:t>
      </w:r>
      <w:r>
        <w:rPr>
          <w:rFonts w:ascii="Times New Roman" w:hAnsi="Times New Roman" w:eastAsia="仿宋_GB2312" w:cs="Times New Roman"/>
          <w:bCs/>
          <w:color w:val="000000" w:themeColor="text1"/>
          <w:sz w:val="32"/>
          <w:szCs w:val="32"/>
          <w:highlight w:val="none"/>
          <w14:textFill>
            <w14:solidFill>
              <w14:schemeClr w14:val="tx1"/>
            </w14:solidFill>
          </w14:textFill>
        </w:rPr>
        <w:t>将粤港</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澳大湾区</w:t>
      </w:r>
      <w:r>
        <w:rPr>
          <w:rFonts w:hint="eastAsia" w:ascii="仿宋_GB2312" w:hAnsi="仿宋_GB2312" w:eastAsia="仿宋_GB2312" w:cs="仿宋_GB2312"/>
          <w:bCs w:val="0"/>
          <w:color w:val="000000" w:themeColor="text1"/>
          <w:kern w:val="0"/>
          <w:sz w:val="32"/>
          <w:szCs w:val="32"/>
          <w:highlight w:val="none"/>
          <w:lang w:val="zh-CN" w:bidi="ar"/>
          <w14:textFill>
            <w14:solidFill>
              <w14:schemeClr w14:val="tx1"/>
            </w14:solidFill>
          </w14:textFill>
        </w:rPr>
        <w:t>“菜篮子”</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工程</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建设</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列</w:t>
      </w:r>
      <w:r>
        <w:rPr>
          <w:rFonts w:ascii="Times New Roman" w:hAnsi="Times New Roman" w:eastAsia="仿宋_GB2312" w:cs="Times New Roman"/>
          <w:bCs/>
          <w:color w:val="000000" w:themeColor="text1"/>
          <w:sz w:val="32"/>
          <w:szCs w:val="32"/>
          <w:highlight w:val="none"/>
          <w14:textFill>
            <w14:solidFill>
              <w14:schemeClr w14:val="tx1"/>
            </w14:solidFill>
          </w14:textFill>
        </w:rPr>
        <w:t>入国家、省重点项目，并</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给予</w:t>
      </w:r>
      <w:r>
        <w:rPr>
          <w:rFonts w:ascii="Times New Roman" w:hAnsi="Times New Roman" w:eastAsia="仿宋_GB2312" w:cs="Times New Roman"/>
          <w:bCs/>
          <w:color w:val="000000" w:themeColor="text1"/>
          <w:sz w:val="32"/>
          <w:szCs w:val="32"/>
          <w:highlight w:val="none"/>
          <w14:textFill>
            <w14:solidFill>
              <w14:schemeClr w14:val="tx1"/>
            </w14:solidFill>
          </w14:textFill>
        </w:rPr>
        <w:t>配套政策</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支持</w:t>
      </w:r>
      <w:r>
        <w:rPr>
          <w:rFonts w:ascii="Times New Roman" w:hAnsi="Times New Roman" w:eastAsia="仿宋_GB2312" w:cs="Times New Roman"/>
          <w:bCs/>
          <w:color w:val="000000" w:themeColor="text1"/>
          <w:sz w:val="32"/>
          <w:szCs w:val="32"/>
          <w:highlight w:val="none"/>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鼓励各合作地市结合当前国家农业现代化示范区、现代农业产业园、产业强镇</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等重大农业专项，支持企业认定</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粤港澳大湾区</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“菜篮</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子</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生产</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基地。</w:t>
      </w:r>
      <w:r>
        <w:rPr>
          <w:rFonts w:hint="eastAsia" w:ascii="仿宋_GB2312" w:hAnsi="仿宋_GB2312" w:eastAsia="仿宋_GB2312" w:cs="仿宋_GB2312"/>
          <w:b/>
          <w:bCs/>
          <w:color w:val="000000" w:themeColor="text1"/>
          <w:sz w:val="32"/>
          <w:szCs w:val="22"/>
          <w:highlight w:val="none"/>
          <w:lang w:val="en-US" w:eastAsia="zh-CN"/>
          <w14:textFill>
            <w14:solidFill>
              <w14:schemeClr w14:val="tx1"/>
            </w14:solidFill>
          </w14:textFill>
        </w:rPr>
        <w:t>强化用地保障。</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鼓励各地结合实际情况，</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加强土地流转，</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促进</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粤港澳大湾</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区“菜篮子”</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生产基地</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规模化发展；</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支持生产基地发展农产品加工、乡村旅游和休闲农业等现代农业产业融合项目，在当地乡村振兴项目用地计划中优先保障新增建设用地指标。</w:t>
      </w:r>
      <w:r>
        <w:rPr>
          <w:rFonts w:hint="eastAsia" w:ascii="仿宋_GB2312" w:hAnsi="仿宋_GB2312" w:eastAsia="仿宋_GB2312" w:cs="仿宋_GB2312"/>
          <w:b/>
          <w:bCs/>
          <w:color w:val="000000" w:themeColor="text1"/>
          <w:sz w:val="32"/>
          <w:szCs w:val="22"/>
          <w:highlight w:val="none"/>
          <w:lang w:val="en-US" w:eastAsia="zh-CN"/>
          <w14:textFill>
            <w14:solidFill>
              <w14:schemeClr w14:val="tx1"/>
            </w14:solidFill>
          </w14:textFill>
        </w:rPr>
        <w:t>完善投融资政策。</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鼓励各地</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出台</w:t>
      </w: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粤港澳大湾</w:t>
      </w:r>
      <w:r>
        <w:rPr>
          <w:rFonts w:hint="eastAsia" w:ascii="仿宋_GB2312" w:hAnsi="仿宋_GB2312" w:eastAsia="仿宋_GB2312" w:cs="仿宋_GB2312"/>
          <w:bCs w:val="0"/>
          <w:color w:val="000000" w:themeColor="text1"/>
          <w:kern w:val="0"/>
          <w:sz w:val="32"/>
          <w:szCs w:val="32"/>
          <w:highlight w:val="none"/>
          <w:lang w:val="zh-CN" w:bidi="ar"/>
          <w14:textFill>
            <w14:solidFill>
              <w14:schemeClr w14:val="tx1"/>
            </w14:solidFill>
          </w14:textFill>
        </w:rPr>
        <w:t>区“菜篮子”企</w:t>
      </w:r>
      <w:r>
        <w:rPr>
          <w:rFonts w:ascii="Times New Roman" w:hAnsi="Times New Roman" w:eastAsia="仿宋_GB2312" w:cs="Times New Roman"/>
          <w:bCs/>
          <w:color w:val="000000" w:themeColor="text1"/>
          <w:sz w:val="32"/>
          <w:szCs w:val="32"/>
          <w:highlight w:val="none"/>
          <w14:textFill>
            <w14:solidFill>
              <w14:schemeClr w14:val="tx1"/>
            </w14:solidFill>
          </w14:textFill>
        </w:rPr>
        <w:t>业银行贷款财政贴息政策</w:t>
      </w:r>
      <w:r>
        <w:rPr>
          <w:rFonts w:hint="default" w:ascii="Times New Roman" w:hAnsi="Times New Roman" w:eastAsia="仿宋_GB2312" w:cs="Times New Roman"/>
          <w:bCs/>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Times New Roman"/>
          <w:bCs/>
          <w:color w:val="000000" w:themeColor="text1"/>
          <w:sz w:val="32"/>
          <w:szCs w:val="32"/>
          <w:highlight w:val="none"/>
          <w:lang w:val="en-US" w:eastAsia="zh-CN"/>
          <w14:textFill>
            <w14:solidFill>
              <w14:schemeClr w14:val="tx1"/>
            </w14:solidFill>
          </w14:textFill>
        </w:rPr>
        <w:t>支持相关主体</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加强与保险机构合作，拓展保险深度、扩大保险范围，探索开发粤港澳大湾区</w:t>
      </w:r>
      <w:r>
        <w:rPr>
          <w:rFonts w:hint="eastAsia" w:ascii="仿宋_GB2312" w:hAnsi="仿宋_GB2312" w:eastAsia="仿宋_GB2312" w:cs="仿宋_GB2312"/>
          <w:color w:val="000000" w:themeColor="text1"/>
          <w:kern w:val="0"/>
          <w:sz w:val="32"/>
          <w:szCs w:val="32"/>
          <w:highlight w:val="none"/>
          <w:lang w:val="zh-CN" w:eastAsia="zh-CN" w:bidi="ar"/>
          <w14:textFill>
            <w14:solidFill>
              <w14:schemeClr w14:val="tx1"/>
            </w14:solidFill>
          </w14:textFill>
        </w:rPr>
        <w:t>“菜篮子”全</w:t>
      </w:r>
      <w:r>
        <w:rPr>
          <w:rFonts w:hint="default" w:ascii="Times New Roman" w:hAnsi="Times New Roman" w:eastAsia="仿宋_GB2312" w:cs="Times New Roman"/>
          <w:color w:val="000000" w:themeColor="text1"/>
          <w:sz w:val="32"/>
          <w:szCs w:val="22"/>
          <w:highlight w:val="none"/>
          <w:lang w:val="en-US" w:eastAsia="zh-CN"/>
          <w14:textFill>
            <w14:solidFill>
              <w14:schemeClr w14:val="tx1"/>
            </w14:solidFill>
          </w14:textFill>
        </w:rPr>
        <w:t>产业链保险险种，降低企业主体的经营风险。</w:t>
      </w:r>
      <w:r>
        <w:rPr>
          <w:rFonts w:hint="eastAsia" w:ascii="仿宋_GB2312" w:hAnsi="仿宋_GB2312" w:eastAsia="仿宋_GB2312" w:cs="仿宋_GB2312"/>
          <w:b/>
          <w:bCs/>
          <w:color w:val="000000" w:themeColor="text1"/>
          <w:sz w:val="32"/>
          <w:szCs w:val="22"/>
          <w:highlight w:val="none"/>
          <w:lang w:val="en-US" w:eastAsia="zh-CN"/>
          <w14:textFill>
            <w14:solidFill>
              <w14:schemeClr w14:val="tx1"/>
            </w14:solidFill>
          </w14:textFill>
        </w:rPr>
        <w:t>深化对外开放。</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鼓励</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农业企业跨境参与粤港澳大湾区</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生产经营活动</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支持港澳农业企业到</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内地</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开展生态型果蔬种植、畜禽养殖、水产养殖等生产经营活动，鼓励粤港澳大湾区</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“菜篮子”</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内地农业企业在港澳市场开展电子商务、品牌专卖等新业态经营活动。贯彻落实农业对接RCEP相关措施，指导企业对接RCEP成员国市场，推进基础条件扎实的地区加强农业对外合作和开放发展。</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314" w:name="_Toc23869"/>
      <w:bookmarkStart w:id="315" w:name="_Toc15845"/>
      <w:bookmarkStart w:id="316" w:name="_Toc25123"/>
      <w:bookmarkStart w:id="317" w:name="_Toc21995"/>
      <w:bookmarkStart w:id="318" w:name="_Toc9410"/>
      <w:bookmarkStart w:id="319" w:name="_Toc20399"/>
      <w:bookmarkStart w:id="320" w:name="_Toc30900"/>
      <w:bookmarkStart w:id="321" w:name="_Toc9298"/>
      <w:bookmarkStart w:id="322" w:name="_Toc13409"/>
      <w:bookmarkStart w:id="323" w:name="_Toc9052"/>
      <w:bookmarkStart w:id="324" w:name="_Toc13585"/>
      <w:bookmarkStart w:id="325" w:name="_Toc16717"/>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三、</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强化科技支撑</w:t>
      </w:r>
      <w:bookmarkEnd w:id="314"/>
      <w:bookmarkEnd w:id="315"/>
      <w:bookmarkEnd w:id="316"/>
      <w:bookmarkEnd w:id="317"/>
      <w:bookmarkEnd w:id="318"/>
      <w:bookmarkEnd w:id="319"/>
      <w:bookmarkEnd w:id="320"/>
      <w:bookmarkEnd w:id="321"/>
      <w:bookmarkEnd w:id="322"/>
      <w:bookmarkEnd w:id="323"/>
      <w:bookmarkEnd w:id="324"/>
      <w:bookmarkEnd w:id="325"/>
    </w:p>
    <w:p>
      <w:pPr>
        <w:widowControl/>
        <w:ind w:firstLine="640" w:firstLineChars="200"/>
        <w:jc w:val="left"/>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坚持创新驱动发展，</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鼓励</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国内外高校科研机构、农业科技推广机构</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等积极</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参与粤港澳大湾</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区“菜篮子”工程</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建设，开展农业科技创新研究、</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“菜篮子”产</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品高质量生产标准和质量安全标准制定</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等</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活动</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，引导</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其提供</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政策、标准、技术、培训等方面的科技</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服务。</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强化科技</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交流推广</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聘请</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行业</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协会、科研机构</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等</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，综合采用线下线上相结合的方式，开</w:t>
      </w:r>
      <w:r>
        <w:rPr>
          <w:rFonts w:hint="eastAsia" w:ascii="仿宋_GB2312" w:hAnsi="仿宋_GB2312" w:eastAsia="仿宋_GB2312" w:cs="仿宋_GB2312"/>
          <w:b w:val="0"/>
          <w:bCs w:val="0"/>
          <w:color w:val="000000" w:themeColor="text1"/>
          <w:kern w:val="0"/>
          <w:sz w:val="32"/>
          <w:szCs w:val="32"/>
          <w:highlight w:val="none"/>
          <w:lang w:val="zh-CN" w:eastAsia="zh-CN" w:bidi="ar"/>
          <w14:textFill>
            <w14:solidFill>
              <w14:schemeClr w14:val="tx1"/>
            </w14:solidFill>
          </w14:textFill>
        </w:rPr>
        <w:t>展“菜篮子”</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产品生产</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技术、</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平台</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标准</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的</w:t>
      </w:r>
      <w:r>
        <w:rPr>
          <w:rFonts w:hint="default"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培训</w:t>
      </w:r>
      <w:r>
        <w:rPr>
          <w:rFonts w:hint="eastAsia" w:ascii="Times New Roman" w:hAnsi="Times New Roman" w:eastAsia="仿宋_GB2312" w:cs="Times New Roman"/>
          <w:b w:val="0"/>
          <w:bCs w:val="0"/>
          <w:color w:val="000000" w:themeColor="text1"/>
          <w:sz w:val="32"/>
          <w:szCs w:val="22"/>
          <w:highlight w:val="none"/>
          <w:lang w:val="en-US" w:eastAsia="zh-CN"/>
          <w14:textFill>
            <w14:solidFill>
              <w14:schemeClr w14:val="tx1"/>
            </w14:solidFill>
          </w14:textFill>
        </w:rPr>
        <w:t>和指导。</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326" w:name="_Toc13192"/>
      <w:bookmarkStart w:id="327" w:name="_Toc6066"/>
      <w:bookmarkStart w:id="328" w:name="_Toc25376"/>
      <w:bookmarkStart w:id="329" w:name="_Toc25175"/>
      <w:bookmarkStart w:id="330" w:name="_Toc9861"/>
      <w:bookmarkStart w:id="331" w:name="_Toc11809"/>
      <w:bookmarkStart w:id="332" w:name="_Toc24677"/>
      <w:bookmarkStart w:id="333" w:name="_Toc21663"/>
      <w:bookmarkStart w:id="334" w:name="_Toc10861"/>
      <w:bookmarkStart w:id="335" w:name="_Toc11370"/>
      <w:bookmarkStart w:id="336" w:name="_Toc26272"/>
      <w:bookmarkStart w:id="337" w:name="_Toc11089"/>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四、</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强化市场</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监测预警与</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应急管理</w:t>
      </w:r>
      <w:bookmarkEnd w:id="326"/>
      <w:bookmarkEnd w:id="327"/>
      <w:bookmarkEnd w:id="328"/>
      <w:bookmarkEnd w:id="329"/>
      <w:bookmarkEnd w:id="330"/>
      <w:bookmarkEnd w:id="331"/>
      <w:bookmarkEnd w:id="332"/>
      <w:bookmarkEnd w:id="333"/>
      <w:bookmarkEnd w:id="334"/>
      <w:bookmarkEnd w:id="335"/>
      <w:bookmarkEnd w:id="336"/>
      <w:bookmarkEnd w:id="337"/>
    </w:p>
    <w:p>
      <w:pPr>
        <w:widowControl/>
        <w:ind w:firstLine="640" w:firstLineChars="200"/>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建立、完善粤港澳大湾区“菜篮子”市场监测预警体系。选取若干生产经营稳定、信誉良好</w:t>
      </w:r>
      <w:r>
        <w:rPr>
          <w:rFonts w:hint="eastAsia" w:ascii="仿宋_GB2312" w:hAnsi="仿宋_GB2312" w:eastAsia="仿宋_GB2312" w:cs="仿宋_GB2312"/>
          <w:b w:val="0"/>
          <w:bCs w:val="0"/>
          <w:color w:val="000000" w:themeColor="text1"/>
          <w:sz w:val="32"/>
          <w:szCs w:val="22"/>
          <w:highlight w:val="none"/>
          <w:lang w:val="zh-CN" w:eastAsia="zh-CN"/>
          <w14:textFill>
            <w14:solidFill>
              <w14:schemeClr w14:val="tx1"/>
            </w14:solidFill>
          </w14:textFill>
        </w:rPr>
        <w:t>的“菜篮子”</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生产基地、产品配送</w:t>
      </w:r>
      <w:r>
        <w:rPr>
          <w:rFonts w:hint="eastAsia" w:ascii="Times New Roman" w:hAnsi="Times New Roman" w:eastAsia="仿宋_GB2312" w:cs="Times New Roman"/>
          <w:color w:val="auto"/>
          <w:sz w:val="32"/>
          <w:szCs w:val="22"/>
          <w:highlight w:val="none"/>
          <w:lang w:val="en-US" w:eastAsia="zh-CN"/>
        </w:rPr>
        <w:t>（分）</w:t>
      </w: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中心、交易中心、市场主体，建立信息采集点，完善相关基础设施建设，建立主要“菜篮子”产品信息监测预警制度，完善市场、价格监测分析制度和风险预警框架，建立全链条智慧化监测网络，构建从基地到终端的快速响应机制，完善市场运行监测</w:t>
      </w:r>
      <w:r>
        <w:rPr>
          <w:rFonts w:hint="eastAsia" w:ascii="仿宋_GB2312" w:hAnsi="仿宋_GB2312" w:eastAsia="仿宋_GB2312" w:cs="仿宋_GB2312"/>
          <w:color w:val="000000" w:themeColor="text1"/>
          <w:sz w:val="32"/>
          <w:szCs w:val="32"/>
          <w:highlight w:val="none"/>
          <w14:textFill>
            <w14:solidFill>
              <w14:schemeClr w14:val="tx1"/>
            </w14:solidFill>
          </w14:textFill>
        </w:rPr>
        <w:t>共享机制，提高预警预报水平。</w:t>
      </w:r>
    </w:p>
    <w:p>
      <w:pPr>
        <w:widowControl/>
        <w:ind w:firstLine="640" w:firstLineChars="200"/>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22"/>
          <w:highlight w:val="none"/>
          <w:lang w:val="en-US" w:eastAsia="zh-CN"/>
          <w14:textFill>
            <w14:solidFill>
              <w14:schemeClr w14:val="tx1"/>
            </w14:solidFill>
          </w14:textFill>
        </w:rPr>
        <w:t>加强粤港澳大湾区“菜篮子”应急能力建设。</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完善市场应急预案，</w:t>
      </w:r>
      <w:r>
        <w:rPr>
          <w:rFonts w:hint="eastAsia" w:ascii="仿宋_GB2312" w:hAnsi="仿宋_GB2312" w:eastAsia="仿宋_GB2312" w:cs="仿宋_GB2312"/>
          <w:color w:val="000000" w:themeColor="text1"/>
          <w:sz w:val="32"/>
          <w:szCs w:val="32"/>
          <w:highlight w:val="none"/>
          <w14:textFill>
            <w14:solidFill>
              <w14:schemeClr w14:val="tx1"/>
            </w14:solidFill>
          </w14:textFill>
        </w:rPr>
        <w:t>加强</w:t>
      </w:r>
      <w:r>
        <w:rPr>
          <w:rFonts w:hint="eastAsia" w:ascii="仿宋_GB2312" w:hAnsi="仿宋_GB2312" w:eastAsia="仿宋_GB2312" w:cs="仿宋_GB2312"/>
          <w:color w:val="000000" w:themeColor="text1"/>
          <w:sz w:val="32"/>
          <w:szCs w:val="32"/>
          <w:highlight w:val="none"/>
          <w:lang w:val="zh-CN"/>
          <w14:textFill>
            <w14:solidFill>
              <w14:schemeClr w14:val="tx1"/>
            </w14:solidFill>
          </w14:textFill>
        </w:rPr>
        <w:t>“菜篮子”产</w:t>
      </w:r>
      <w:r>
        <w:rPr>
          <w:rFonts w:hint="eastAsia" w:ascii="仿宋_GB2312" w:hAnsi="仿宋_GB2312" w:eastAsia="仿宋_GB2312" w:cs="仿宋_GB2312"/>
          <w:color w:val="000000" w:themeColor="text1"/>
          <w:sz w:val="32"/>
          <w:szCs w:val="32"/>
          <w:highlight w:val="none"/>
          <w14:textFill>
            <w14:solidFill>
              <w14:schemeClr w14:val="tx1"/>
            </w14:solidFill>
          </w14:textFill>
        </w:rPr>
        <w:t>品应急储备，选取基础设施完善、生产经营稳定、信誉良好</w:t>
      </w:r>
      <w:r>
        <w:rPr>
          <w:rFonts w:hint="eastAsia" w:ascii="仿宋_GB2312" w:hAnsi="仿宋_GB2312" w:eastAsia="仿宋_GB2312" w:cs="仿宋_GB2312"/>
          <w:color w:val="000000" w:themeColor="text1"/>
          <w:sz w:val="32"/>
          <w:szCs w:val="32"/>
          <w:highlight w:val="none"/>
          <w:lang w:val="zh-CN"/>
          <w14:textFill>
            <w14:solidFill>
              <w14:schemeClr w14:val="tx1"/>
            </w14:solidFill>
          </w14:textFill>
        </w:rPr>
        <w:t>的生产基地和产品加工企业，</w:t>
      </w:r>
      <w:r>
        <w:rPr>
          <w:rFonts w:hint="eastAsia" w:ascii="仿宋_GB2312" w:hAnsi="仿宋_GB2312" w:eastAsia="仿宋_GB2312" w:cs="仿宋_GB2312"/>
          <w:color w:val="000000" w:themeColor="text1"/>
          <w:sz w:val="32"/>
          <w:szCs w:val="32"/>
          <w:highlight w:val="none"/>
          <w14:textFill>
            <w14:solidFill>
              <w14:schemeClr w14:val="tx1"/>
            </w14:solidFill>
          </w14:textFill>
        </w:rPr>
        <w:t>组成</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菜篮子</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产品应急保供队伍，指导企业配合有关部门做好日常监测，加强上下游企业间信息衔接，形成稳定的供货来源和投放渠道，完善应急投放网络和组织机制，重点保障蔬菜等难以储备</w:t>
      </w:r>
      <w:r>
        <w:rPr>
          <w:rFonts w:hint="eastAsia" w:ascii="仿宋_GB2312" w:hAnsi="仿宋_GB2312" w:eastAsia="仿宋_GB2312" w:cs="仿宋_GB2312"/>
          <w:color w:val="000000" w:themeColor="text1"/>
          <w:sz w:val="32"/>
          <w:szCs w:val="32"/>
          <w:highlight w:val="none"/>
          <w:lang w:val="zh-CN" w:bidi="ar"/>
          <w14:textFill>
            <w14:solidFill>
              <w14:schemeClr w14:val="tx1"/>
            </w14:solidFill>
          </w14:textFill>
        </w:rPr>
        <w:t>的“菜篮子”产品的</w:t>
      </w:r>
      <w:r>
        <w:rPr>
          <w:rFonts w:hint="eastAsia" w:ascii="仿宋_GB2312" w:hAnsi="仿宋_GB2312" w:eastAsia="仿宋_GB2312" w:cs="仿宋_GB2312"/>
          <w:color w:val="000000" w:themeColor="text1"/>
          <w:sz w:val="32"/>
          <w:szCs w:val="32"/>
          <w:highlight w:val="none"/>
          <w14:textFill>
            <w14:solidFill>
              <w14:schemeClr w14:val="tx1"/>
            </w14:solidFill>
          </w14:textFill>
        </w:rPr>
        <w:t>市场供应。</w:t>
      </w:r>
    </w:p>
    <w:p>
      <w:pPr>
        <w:pStyle w:val="5"/>
        <w:keepNext/>
        <w:keepLines/>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bookmarkStart w:id="338" w:name="_Toc1292"/>
      <w:bookmarkStart w:id="339" w:name="_Toc5852"/>
      <w:bookmarkStart w:id="340" w:name="_Toc14864"/>
      <w:bookmarkStart w:id="341" w:name="_Toc8641"/>
      <w:bookmarkStart w:id="342" w:name="_Toc28629"/>
      <w:bookmarkStart w:id="343" w:name="_Toc31527"/>
      <w:bookmarkStart w:id="344" w:name="_Toc11243"/>
      <w:bookmarkStart w:id="345" w:name="_Toc11862"/>
      <w:bookmarkStart w:id="346" w:name="_Toc6392"/>
      <w:bookmarkStart w:id="347" w:name="_Toc29897"/>
      <w:bookmarkStart w:id="348" w:name="_Toc5419"/>
      <w:bookmarkStart w:id="349" w:name="_Toc17942"/>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五、</w:t>
      </w:r>
      <w:r>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t>营造良好氛围</w:t>
      </w:r>
      <w:bookmarkEnd w:id="338"/>
      <w:bookmarkEnd w:id="339"/>
      <w:bookmarkEnd w:id="340"/>
      <w:bookmarkEnd w:id="341"/>
      <w:bookmarkEnd w:id="342"/>
      <w:bookmarkEnd w:id="343"/>
      <w:bookmarkEnd w:id="344"/>
      <w:bookmarkEnd w:id="345"/>
      <w:bookmarkEnd w:id="346"/>
      <w:bookmarkEnd w:id="347"/>
      <w:bookmarkEnd w:id="348"/>
      <w:bookmarkEnd w:id="349"/>
    </w:p>
    <w:p>
      <w:pPr>
        <w:pStyle w:val="29"/>
        <w:spacing w:line="360" w:lineRule="auto"/>
        <w:ind w:firstLine="482"/>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加强规划解读和宣传，充分调动政府部门、市场主体、农民群众等各方面积极性、主动性和创造性，凝聚促进粤港澳大湾区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工程建设的强大合力。挖掘</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“菜篮子”</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工程建设的经验，及时解读创新案例、宣传做法经验、推广典型模式，引导形成全社会共同关注、支持和参与粤港澳大湾</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区“菜篮子”工</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程建设与发展的良好氛围。</w:t>
      </w:r>
    </w:p>
    <w:p>
      <w:pPr>
        <w:spacing w:line="360" w:lineRule="auto"/>
        <w:rPr>
          <w:rFonts w:hint="eastAsia"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sectPr>
          <w:pgSz w:w="11906" w:h="16838"/>
          <w:pgMar w:top="2098" w:right="1474" w:bottom="1984"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50" w:name="_Toc9232"/>
      <w:bookmarkStart w:id="351" w:name="_Toc24228"/>
      <w:bookmarkStart w:id="352" w:name="_Toc13519"/>
      <w:bookmarkStart w:id="353" w:name="_Toc20993"/>
      <w:bookmarkStart w:id="354" w:name="_Toc9431"/>
    </w:p>
    <w:p>
      <w:pPr>
        <w:spacing w:line="360" w:lineRule="auto"/>
        <w:jc w:val="cente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t>名词解释</w:t>
      </w:r>
      <w:bookmarkEnd w:id="350"/>
      <w:bookmarkEnd w:id="351"/>
      <w:bookmarkEnd w:id="352"/>
      <w:bookmarkEnd w:id="353"/>
    </w:p>
    <w:p>
      <w:pPr>
        <w:rPr>
          <w:rFonts w:hint="default"/>
          <w:lang w:val="en-US" w:eastAsia="zh-CN"/>
        </w:rPr>
      </w:pPr>
    </w:p>
    <w:p>
      <w:pPr>
        <w:pStyle w:val="43"/>
        <w:numPr>
          <w:ilvl w:val="0"/>
          <w:numId w:val="0"/>
        </w:numPr>
        <w:ind w:leftChars="0" w:firstLine="643" w:firstLineChars="200"/>
        <w:rPr>
          <w:rFonts w:hint="eastAsia" w:eastAsia="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1.粤港澳大湾区“菜篮子”农产品质量安全溯源管理平台：</w:t>
      </w:r>
      <w:r>
        <w:rPr>
          <w:rFonts w:hint="eastAsia" w:eastAsia="仿宋_GB2312"/>
          <w:color w:val="000000" w:themeColor="text1"/>
          <w:sz w:val="32"/>
          <w:szCs w:val="32"/>
          <w:highlight w:val="none"/>
          <w:lang w:val="en-US" w:eastAsia="zh-CN"/>
          <w14:textFill>
            <w14:solidFill>
              <w14:schemeClr w14:val="tx1"/>
            </w14:solidFill>
          </w14:textFill>
        </w:rPr>
        <w:t>是指供粤港澳大湾区“菜篮子”生产基地、产品加工企业、产品配送</w:t>
      </w:r>
      <w:r>
        <w:rPr>
          <w:rFonts w:hint="eastAsia" w:ascii="Times New Roman" w:hAnsi="Times New Roman" w:eastAsia="仿宋_GB2312" w:cs="Times New Roman"/>
          <w:color w:val="auto"/>
          <w:sz w:val="32"/>
          <w:szCs w:val="22"/>
          <w:highlight w:val="none"/>
          <w:lang w:val="en-US" w:eastAsia="zh-CN"/>
        </w:rPr>
        <w:t>（分）</w:t>
      </w:r>
      <w:r>
        <w:rPr>
          <w:rFonts w:hint="eastAsia" w:eastAsia="仿宋_GB2312"/>
          <w:color w:val="000000" w:themeColor="text1"/>
          <w:sz w:val="32"/>
          <w:szCs w:val="32"/>
          <w:highlight w:val="none"/>
          <w:lang w:val="en-US" w:eastAsia="zh-CN"/>
          <w14:textFill>
            <w14:solidFill>
              <w14:schemeClr w14:val="tx1"/>
            </w14:solidFill>
          </w14:textFill>
        </w:rPr>
        <w:t>中心、质量安全承检机构等主体使用，以平台标准为依据，遵循“逢出必检”“逢进必检”原则，专门用于保障粤港澳大湾区“菜篮子”产品流通、确保大湾区“菜篮子”产品质量安全、打造及维护大湾区“菜篮子”品牌信誉的公益性、权威性、公正性、开放性综合信息服务平台。经该平台流通的农产品实行</w:t>
      </w:r>
      <w:r>
        <w:rPr>
          <w:rFonts w:hint="default" w:eastAsia="仿宋_GB2312"/>
          <w:color w:val="000000" w:themeColor="text1"/>
          <w:sz w:val="32"/>
          <w:szCs w:val="32"/>
          <w:highlight w:val="none"/>
          <w:lang w:val="en-US" w:eastAsia="zh-CN"/>
          <w14:textFill>
            <w14:solidFill>
              <w14:schemeClr w14:val="tx1"/>
            </w14:solidFill>
          </w14:textFill>
        </w:rPr>
        <w:t>电子食用农产品承诺达标合格证与溯源信</w:t>
      </w:r>
      <w:r>
        <w:rPr>
          <w:rFonts w:hint="eastAsia" w:eastAsia="仿宋_GB2312"/>
          <w:color w:val="000000" w:themeColor="text1"/>
          <w:sz w:val="32"/>
          <w:szCs w:val="32"/>
          <w:highlight w:val="none"/>
          <w:lang w:val="zh-CN" w:eastAsia="zh-CN"/>
          <w14:textFill>
            <w14:solidFill>
              <w14:schemeClr w14:val="tx1"/>
            </w14:solidFill>
          </w14:textFill>
        </w:rPr>
        <w:t>息</w:t>
      </w:r>
      <w:r>
        <w:rPr>
          <w:rFonts w:hint="eastAsia" w:eastAsia="仿宋_GB2312"/>
          <w:color w:val="000000" w:themeColor="text1"/>
          <w:sz w:val="32"/>
          <w:szCs w:val="32"/>
          <w:highlight w:val="none"/>
          <w:lang w:val="en-US" w:eastAsia="zh-CN"/>
          <w14:textFill>
            <w14:solidFill>
              <w14:schemeClr w14:val="tx1"/>
            </w14:solidFill>
          </w14:textFill>
        </w:rPr>
        <w:t>“一品一码</w:t>
      </w:r>
      <w:r>
        <w:rPr>
          <w:rFonts w:hint="eastAsia" w:eastAsia="仿宋_GB2312"/>
          <w:color w:val="000000" w:themeColor="text1"/>
          <w:sz w:val="32"/>
          <w:szCs w:val="32"/>
          <w:highlight w:val="none"/>
          <w:lang w:val="zh-CN" w:eastAsia="zh-CN"/>
          <w14:textFill>
            <w14:solidFill>
              <w14:schemeClr w14:val="tx1"/>
            </w14:solidFill>
          </w14:textFill>
        </w:rPr>
        <w:t>，多码合一”</w:t>
      </w:r>
      <w:r>
        <w:rPr>
          <w:rFonts w:hint="eastAsia" w:eastAsia="仿宋_GB2312"/>
          <w:color w:val="000000" w:themeColor="text1"/>
          <w:sz w:val="32"/>
          <w:szCs w:val="32"/>
          <w:highlight w:val="none"/>
          <w:lang w:val="en-US" w:eastAsia="zh-CN"/>
          <w14:textFill>
            <w14:solidFill>
              <w14:schemeClr w14:val="tx1"/>
            </w14:solidFill>
          </w14:textFill>
        </w:rPr>
        <w:t>管理，包装均贴有粤港澳大湾区“菜篮子”产品标识和质量安全溯源二维码。</w:t>
      </w:r>
    </w:p>
    <w:p>
      <w:pPr>
        <w:pStyle w:val="43"/>
        <w:numPr>
          <w:ilvl w:val="0"/>
          <w:numId w:val="0"/>
        </w:numPr>
        <w:ind w:leftChars="0" w:firstLine="643" w:firstLineChars="200"/>
        <w:rPr>
          <w:rFonts w:hint="eastAsia" w:eastAsia="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2.平台标准</w:t>
      </w:r>
      <w:r>
        <w:rPr>
          <w:rFonts w:hint="eastAsia" w:eastAsia="仿宋_GB2312"/>
          <w:color w:val="000000" w:themeColor="text1"/>
          <w:sz w:val="32"/>
          <w:szCs w:val="32"/>
          <w:highlight w:val="none"/>
          <w:lang w:val="en-US" w:eastAsia="zh-CN"/>
          <w14:textFill>
            <w14:solidFill>
              <w14:schemeClr w14:val="tx1"/>
            </w14:solidFill>
          </w14:textFill>
        </w:rPr>
        <w:t>：是指以国家农产品质量安全法律法规和供港澳质量安全标准为标杆，制定的保障粤港澳大湾区“菜篮子”产品质量安全的“粤港澳大湾区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菜篮子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平台产品质量安全指标体系”等系列团体标准。</w:t>
      </w:r>
    </w:p>
    <w:p>
      <w:pPr>
        <w:pStyle w:val="43"/>
        <w:numPr>
          <w:ilvl w:val="0"/>
          <w:numId w:val="0"/>
        </w:numPr>
        <w:ind w:leftChars="0" w:firstLine="643" w:firstLineChars="200"/>
        <w:rPr>
          <w:rFonts w:hint="eastAsia" w:eastAsia="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3.粤港澳大湾区“菜篮子”生产基地：</w:t>
      </w:r>
      <w:r>
        <w:rPr>
          <w:rFonts w:hint="eastAsia" w:eastAsia="仿宋_GB2312"/>
          <w:color w:val="000000" w:themeColor="text1"/>
          <w:sz w:val="32"/>
          <w:szCs w:val="32"/>
          <w:highlight w:val="none"/>
          <w:lang w:val="en-US" w:eastAsia="zh-CN"/>
          <w14:textFill>
            <w14:solidFill>
              <w14:schemeClr w14:val="tx1"/>
            </w14:solidFill>
          </w14:textFill>
        </w:rPr>
        <w:t>是指生产主体按照《粤港澳大湾区“菜篮子”生产基地认定规程》</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（T/GDNB 148-2022）</w:t>
      </w:r>
      <w:r>
        <w:rPr>
          <w:rFonts w:hint="eastAsia" w:eastAsia="仿宋_GB2312"/>
          <w:color w:val="000000" w:themeColor="text1"/>
          <w:sz w:val="32"/>
          <w:szCs w:val="32"/>
          <w:highlight w:val="none"/>
          <w:lang w:val="en-US" w:eastAsia="zh-CN"/>
          <w14:textFill>
            <w14:solidFill>
              <w14:schemeClr w14:val="tx1"/>
            </w14:solidFill>
          </w14:textFill>
        </w:rPr>
        <w:t>自愿申报，获得属地农业农村行政主管部门审核推荐，经粤港澳大湾区“菜篮子”工作办公室进行资料符合性检查，由广州市农业农村局联合属地地级以上市（州）农业农村行政主管部门授予牌证的生产基地。包含蔬菜、水果、食用油及油料、乳及乳制品、畜产品、禽产品、蜂产品和水产品等初级农产品生产基地。</w:t>
      </w:r>
    </w:p>
    <w:p>
      <w:pPr>
        <w:pStyle w:val="43"/>
        <w:numPr>
          <w:ilvl w:val="0"/>
          <w:numId w:val="0"/>
        </w:numPr>
        <w:ind w:leftChars="0" w:firstLine="643" w:firstLineChars="200"/>
        <w:rPr>
          <w:rFonts w:hint="default" w:eastAsia="仿宋_GB2312"/>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4.粤港澳大湾区“菜篮子”产品配送</w:t>
      </w:r>
      <w:r>
        <w:rPr>
          <w:rFonts w:hint="eastAsia" w:ascii="Times New Roman" w:hAnsi="Times New Roman" w:eastAsia="仿宋_GB2312" w:cs="Times New Roman"/>
          <w:b/>
          <w:bCs/>
          <w:color w:val="auto"/>
          <w:sz w:val="32"/>
          <w:szCs w:val="22"/>
          <w:highlight w:val="none"/>
          <w:lang w:val="en-US" w:eastAsia="zh-CN"/>
        </w:rPr>
        <w:t>（分）</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中心：</w:t>
      </w:r>
      <w:r>
        <w:rPr>
          <w:rFonts w:hint="eastAsia" w:eastAsia="仿宋_GB2312"/>
          <w:color w:val="000000" w:themeColor="text1"/>
          <w:sz w:val="32"/>
          <w:szCs w:val="32"/>
          <w:highlight w:val="none"/>
          <w:lang w:val="en-US" w:eastAsia="zh-CN"/>
          <w14:textFill>
            <w14:solidFill>
              <w14:schemeClr w14:val="tx1"/>
            </w14:solidFill>
          </w14:textFill>
        </w:rPr>
        <w:t>是指主要开展粤港澳大湾区“菜篮子”产品集散的平台。配送</w:t>
      </w:r>
      <w:r>
        <w:rPr>
          <w:rFonts w:hint="eastAsia" w:ascii="Times New Roman" w:hAnsi="Times New Roman" w:eastAsia="仿宋_GB2312" w:cs="Times New Roman"/>
          <w:color w:val="auto"/>
          <w:sz w:val="32"/>
          <w:szCs w:val="22"/>
          <w:highlight w:val="none"/>
          <w:lang w:val="en-US" w:eastAsia="zh-CN"/>
        </w:rPr>
        <w:t>（分）</w:t>
      </w:r>
      <w:r>
        <w:rPr>
          <w:rFonts w:hint="eastAsia" w:eastAsia="仿宋_GB2312"/>
          <w:color w:val="000000" w:themeColor="text1"/>
          <w:sz w:val="32"/>
          <w:szCs w:val="32"/>
          <w:highlight w:val="none"/>
          <w:lang w:val="en-US" w:eastAsia="zh-CN"/>
          <w14:textFill>
            <w14:solidFill>
              <w14:schemeClr w14:val="tx1"/>
            </w14:solidFill>
          </w14:textFill>
        </w:rPr>
        <w:t>中心</w:t>
      </w:r>
      <w:r>
        <w:rPr>
          <w:rFonts w:hint="default" w:eastAsia="仿宋_GB2312"/>
          <w:color w:val="000000" w:themeColor="text1"/>
          <w:sz w:val="32"/>
          <w:szCs w:val="32"/>
          <w:highlight w:val="none"/>
          <w:lang w:val="en-US" w:eastAsia="zh-CN"/>
          <w14:textFill>
            <w14:solidFill>
              <w14:schemeClr w14:val="tx1"/>
            </w14:solidFill>
          </w14:textFill>
        </w:rPr>
        <w:t>应统一使用粤港澳大</w:t>
      </w:r>
      <w:r>
        <w:rPr>
          <w:rFonts w:hint="eastAsia" w:eastAsia="仿宋_GB2312"/>
          <w:color w:val="000000" w:themeColor="text1"/>
          <w:sz w:val="32"/>
          <w:szCs w:val="32"/>
          <w:highlight w:val="none"/>
          <w:lang w:val="zh-CN" w:eastAsia="zh-CN"/>
          <w14:textFill>
            <w14:solidFill>
              <w14:schemeClr w14:val="tx1"/>
            </w14:solidFill>
          </w14:textFill>
        </w:rPr>
        <w:t>湾区“菜篮子”</w:t>
      </w:r>
      <w:r>
        <w:rPr>
          <w:rFonts w:hint="default" w:ascii="Times New Roman" w:hAnsi="Times New Roman" w:eastAsia="仿宋_GB2312" w:cs="Times New Roman"/>
          <w:color w:val="000000" w:themeColor="text1"/>
          <w:sz w:val="32"/>
          <w:szCs w:val="22"/>
          <w:highlight w:val="none"/>
          <w:lang w:val="zh-CN" w:eastAsia="zh-CN"/>
          <w14:textFill>
            <w14:solidFill>
              <w14:schemeClr w14:val="tx1"/>
            </w14:solidFill>
          </w14:textFill>
        </w:rPr>
        <w:t>农产品质量安全溯源管理平台</w:t>
      </w:r>
      <w:r>
        <w:rPr>
          <w:rFonts w:hint="default" w:eastAsia="仿宋_GB2312"/>
          <w:color w:val="000000" w:themeColor="text1"/>
          <w:sz w:val="32"/>
          <w:szCs w:val="32"/>
          <w:highlight w:val="none"/>
          <w:lang w:val="en-US" w:eastAsia="zh-CN"/>
          <w14:textFill>
            <w14:solidFill>
              <w14:schemeClr w14:val="tx1"/>
            </w14:solidFill>
          </w14:textFill>
        </w:rPr>
        <w:t>进行产品流通、检测、管理，具备产品仓配集散、冷链物流配送、质量安全检测、市场开拓、监督、报关</w:t>
      </w:r>
      <w:r>
        <w:rPr>
          <w:rFonts w:hint="eastAsia" w:eastAsia="仿宋_GB2312"/>
          <w:color w:val="000000" w:themeColor="text1"/>
          <w:sz w:val="32"/>
          <w:szCs w:val="32"/>
          <w:highlight w:val="none"/>
          <w:lang w:val="en-US" w:eastAsia="zh-CN"/>
          <w14:textFill>
            <w14:solidFill>
              <w14:schemeClr w14:val="tx1"/>
            </w14:solidFill>
          </w14:textFill>
        </w:rPr>
        <w:t>、商务</w:t>
      </w:r>
      <w:r>
        <w:rPr>
          <w:rFonts w:hint="default" w:eastAsia="仿宋_GB2312"/>
          <w:color w:val="000000" w:themeColor="text1"/>
          <w:sz w:val="32"/>
          <w:szCs w:val="32"/>
          <w:highlight w:val="none"/>
          <w:lang w:val="en-US" w:eastAsia="zh-CN"/>
          <w14:textFill>
            <w14:solidFill>
              <w14:schemeClr w14:val="tx1"/>
            </w14:solidFill>
          </w14:textFill>
        </w:rPr>
        <w:t>等主要功能</w:t>
      </w:r>
      <w:r>
        <w:rPr>
          <w:rFonts w:hint="eastAsia" w:eastAsia="仿宋_GB2312"/>
          <w:color w:val="000000" w:themeColor="text1"/>
          <w:sz w:val="32"/>
          <w:szCs w:val="32"/>
          <w:highlight w:val="none"/>
          <w:lang w:val="en-US" w:eastAsia="zh-CN"/>
          <w14:textFill>
            <w14:solidFill>
              <w14:schemeClr w14:val="tx1"/>
            </w14:solidFill>
          </w14:textFill>
        </w:rPr>
        <w:t>，主要是将丰富的优质农产品输入粤港澳大湾区及国内外市场。根据地域位置，统称为</w:t>
      </w:r>
      <w:r>
        <w:rPr>
          <w:rFonts w:hint="eastAsia" w:eastAsia="仿宋_GB2312"/>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菜篮子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产品XX配送</w:t>
      </w:r>
      <w:r>
        <w:rPr>
          <w:rFonts w:hint="eastAsia" w:ascii="Times New Roman" w:hAnsi="Times New Roman" w:eastAsia="仿宋_GB2312" w:cs="Times New Roman"/>
          <w:color w:val="auto"/>
          <w:sz w:val="32"/>
          <w:szCs w:val="22"/>
          <w:highlight w:val="none"/>
          <w:lang w:val="en-US" w:eastAsia="zh-CN"/>
        </w:rPr>
        <w:t>（分）</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中心</w:t>
      </w:r>
      <w:r>
        <w:rPr>
          <w:rFonts w:hint="eastAsia" w:eastAsia="仿宋_GB2312"/>
          <w:b w:val="0"/>
          <w:bCs w:val="0"/>
          <w:color w:val="000000" w:themeColor="text1"/>
          <w:sz w:val="32"/>
          <w:szCs w:val="32"/>
          <w:highlight w:val="none"/>
          <w:lang w:val="en-US" w:eastAsia="zh-CN"/>
          <w14:textFill>
            <w14:solidFill>
              <w14:schemeClr w14:val="tx1"/>
            </w14:solidFill>
          </w14:textFill>
        </w:rPr>
        <w:t>”。</w:t>
      </w:r>
    </w:p>
    <w:p>
      <w:pPr>
        <w:pStyle w:val="43"/>
        <w:numPr>
          <w:ilvl w:val="0"/>
          <w:numId w:val="0"/>
        </w:numPr>
        <w:ind w:leftChars="0" w:firstLine="643" w:firstLineChars="200"/>
        <w:rPr>
          <w:rFonts w:hint="default" w:eastAsia="仿宋_GB2312"/>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5.粤港澳大湾区“菜篮子”</w:t>
      </w:r>
      <w:r>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交易中心</w:t>
      </w: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（暂名）：</w:t>
      </w:r>
      <w:r>
        <w:rPr>
          <w:rFonts w:hint="eastAsia" w:eastAsia="仿宋_GB2312"/>
          <w:color w:val="000000" w:themeColor="text1"/>
          <w:sz w:val="32"/>
          <w:szCs w:val="32"/>
          <w:highlight w:val="none"/>
          <w:lang w:val="en-US" w:eastAsia="zh-CN"/>
          <w14:textFill>
            <w14:solidFill>
              <w14:schemeClr w14:val="tx1"/>
            </w14:solidFill>
          </w14:textFill>
        </w:rPr>
        <w:t>是指集粤港澳大湾区“菜篮子”产品</w:t>
      </w:r>
      <w:r>
        <w:rPr>
          <w:rFonts w:hint="default" w:eastAsia="仿宋_GB2312"/>
          <w:color w:val="000000" w:themeColor="text1"/>
          <w:sz w:val="32"/>
          <w:szCs w:val="32"/>
          <w:highlight w:val="none"/>
          <w:lang w:val="en-US" w:eastAsia="zh-CN"/>
          <w14:textFill>
            <w14:solidFill>
              <w14:schemeClr w14:val="tx1"/>
            </w14:solidFill>
          </w14:textFill>
        </w:rPr>
        <w:t>集配、</w:t>
      </w:r>
      <w:r>
        <w:rPr>
          <w:rFonts w:hint="eastAsia" w:eastAsia="仿宋_GB2312"/>
          <w:color w:val="000000" w:themeColor="text1"/>
          <w:sz w:val="32"/>
          <w:szCs w:val="32"/>
          <w:highlight w:val="none"/>
          <w:lang w:val="en-US" w:eastAsia="zh-CN"/>
          <w14:textFill>
            <w14:solidFill>
              <w14:schemeClr w14:val="tx1"/>
            </w14:solidFill>
          </w14:textFill>
        </w:rPr>
        <w:t>交易</w:t>
      </w:r>
      <w:r>
        <w:rPr>
          <w:rFonts w:hint="default" w:eastAsia="仿宋_GB2312"/>
          <w:color w:val="000000" w:themeColor="text1"/>
          <w:sz w:val="32"/>
          <w:szCs w:val="32"/>
          <w:highlight w:val="none"/>
          <w:lang w:val="en-US"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电子商务、会展、</w:t>
      </w:r>
      <w:r>
        <w:rPr>
          <w:rFonts w:hint="default" w:eastAsia="仿宋_GB2312"/>
          <w:color w:val="000000" w:themeColor="text1"/>
          <w:sz w:val="32"/>
          <w:szCs w:val="32"/>
          <w:highlight w:val="none"/>
          <w:lang w:val="en-US" w:eastAsia="zh-CN"/>
          <w14:textFill>
            <w14:solidFill>
              <w14:schemeClr w14:val="tx1"/>
            </w14:solidFill>
          </w14:textFill>
        </w:rPr>
        <w:t>消费、体验等功能为一体的综合性</w:t>
      </w:r>
      <w:r>
        <w:rPr>
          <w:rFonts w:hint="eastAsia" w:eastAsia="仿宋_GB2312"/>
          <w:color w:val="000000" w:themeColor="text1"/>
          <w:sz w:val="32"/>
          <w:szCs w:val="32"/>
          <w:highlight w:val="none"/>
          <w:lang w:val="en-US" w:eastAsia="zh-CN"/>
          <w14:textFill>
            <w14:solidFill>
              <w14:schemeClr w14:val="tx1"/>
            </w14:solidFill>
          </w14:textFill>
        </w:rPr>
        <w:t>平台。</w:t>
      </w:r>
      <w:r>
        <w:rPr>
          <w:rFonts w:hint="default" w:eastAsia="仿宋_GB2312"/>
          <w:color w:val="000000" w:themeColor="text1"/>
          <w:sz w:val="32"/>
          <w:szCs w:val="32"/>
          <w:highlight w:val="none"/>
          <w:lang w:val="en-US" w:eastAsia="zh-CN"/>
          <w14:textFill>
            <w14:solidFill>
              <w14:schemeClr w14:val="tx1"/>
            </w14:solidFill>
          </w14:textFill>
        </w:rPr>
        <w:t>交易中心除应具备配送</w:t>
      </w:r>
      <w:r>
        <w:rPr>
          <w:rFonts w:hint="eastAsia" w:ascii="Times New Roman" w:hAnsi="Times New Roman" w:eastAsia="仿宋_GB2312" w:cs="Times New Roman"/>
          <w:color w:val="auto"/>
          <w:sz w:val="32"/>
          <w:szCs w:val="22"/>
          <w:highlight w:val="none"/>
          <w:lang w:val="en-US" w:eastAsia="zh-CN"/>
        </w:rPr>
        <w:t>（分）</w:t>
      </w:r>
      <w:r>
        <w:rPr>
          <w:rFonts w:hint="default" w:eastAsia="仿宋_GB2312"/>
          <w:color w:val="000000" w:themeColor="text1"/>
          <w:sz w:val="32"/>
          <w:szCs w:val="32"/>
          <w:highlight w:val="none"/>
          <w:lang w:val="en-US" w:eastAsia="zh-CN"/>
          <w14:textFill>
            <w14:solidFill>
              <w14:schemeClr w14:val="tx1"/>
            </w14:solidFill>
          </w14:textFill>
        </w:rPr>
        <w:t>中心的功能外，还应有资源整合、交易展示、</w:t>
      </w:r>
      <w:r>
        <w:rPr>
          <w:rFonts w:hint="eastAsia" w:eastAsia="仿宋_GB2312"/>
          <w:color w:val="000000" w:themeColor="text1"/>
          <w:sz w:val="32"/>
          <w:szCs w:val="32"/>
          <w:highlight w:val="none"/>
          <w:lang w:val="en-US" w:eastAsia="zh-CN"/>
          <w14:textFill>
            <w14:solidFill>
              <w14:schemeClr w14:val="tx1"/>
            </w14:solidFill>
          </w14:textFill>
        </w:rPr>
        <w:t>大</w:t>
      </w:r>
      <w:r>
        <w:rPr>
          <w:rFonts w:hint="default" w:eastAsia="仿宋_GB2312"/>
          <w:color w:val="000000" w:themeColor="text1"/>
          <w:sz w:val="32"/>
          <w:szCs w:val="32"/>
          <w:highlight w:val="none"/>
          <w:lang w:val="en-US" w:eastAsia="zh-CN"/>
          <w14:textFill>
            <w14:solidFill>
              <w14:schemeClr w14:val="tx1"/>
            </w14:solidFill>
          </w14:textFill>
        </w:rPr>
        <w:t>数据分析利用、品牌宣传等功能，有条件的还可以拓展金融结算功能，探索网络期货交易、大宗农产品交易等新模式，提供场景内供应链金融、农业保险等金融服务</w:t>
      </w:r>
      <w:r>
        <w:rPr>
          <w:rFonts w:hint="eastAsia" w:eastAsia="仿宋_GB2312"/>
          <w:color w:val="000000" w:themeColor="text1"/>
          <w:sz w:val="32"/>
          <w:szCs w:val="32"/>
          <w:highlight w:val="none"/>
          <w:lang w:val="en-US" w:eastAsia="zh-CN"/>
          <w14:textFill>
            <w14:solidFill>
              <w14:schemeClr w14:val="tx1"/>
            </w14:solidFill>
          </w14:textFill>
        </w:rPr>
        <w:t>，是实现农产品“卖全球、买全球”的</w:t>
      </w:r>
      <w:r>
        <w:rPr>
          <w:rFonts w:hint="default" w:eastAsia="仿宋_GB2312"/>
          <w:color w:val="000000" w:themeColor="text1"/>
          <w:sz w:val="32"/>
          <w:szCs w:val="32"/>
          <w:highlight w:val="none"/>
          <w:lang w:val="en-US" w:eastAsia="zh-CN"/>
          <w14:textFill>
            <w14:solidFill>
              <w14:schemeClr w14:val="tx1"/>
            </w14:solidFill>
          </w14:textFill>
        </w:rPr>
        <w:t>国际交流高端平台。</w:t>
      </w:r>
    </w:p>
    <w:p>
      <w:pPr>
        <w:pStyle w:val="43"/>
        <w:numPr>
          <w:ilvl w:val="0"/>
          <w:numId w:val="0"/>
        </w:numPr>
        <w:ind w:leftChars="0" w:firstLine="643" w:firstLineChars="200"/>
        <w:rPr>
          <w:rFonts w:hint="default" w:eastAsia="仿宋_GB2312"/>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6.粤港澳大湾区“菜篮子”通关便利区：</w:t>
      </w:r>
      <w:r>
        <w:rPr>
          <w:rFonts w:hint="eastAsia" w:eastAsia="仿宋_GB2312"/>
          <w:color w:val="000000" w:themeColor="text1"/>
          <w:sz w:val="32"/>
          <w:szCs w:val="32"/>
          <w:highlight w:val="none"/>
          <w:lang w:val="en-US" w:eastAsia="zh-CN"/>
          <w14:textFill>
            <w14:solidFill>
              <w14:schemeClr w14:val="tx1"/>
            </w14:solidFill>
          </w14:textFill>
        </w:rPr>
        <w:t>是指海关将关口前移到粤港澳大湾区“菜篮子”生产基地或加工企业，与经营主体共同建设的，</w:t>
      </w:r>
      <w:r>
        <w:rPr>
          <w:rFonts w:hint="default" w:eastAsia="仿宋_GB2312"/>
          <w:color w:val="000000" w:themeColor="text1"/>
          <w:sz w:val="32"/>
          <w:szCs w:val="32"/>
          <w:highlight w:val="none"/>
          <w:lang w:val="en-US" w:eastAsia="zh-CN"/>
          <w14:textFill>
            <w14:solidFill>
              <w14:schemeClr w14:val="tx1"/>
            </w14:solidFill>
          </w14:textFill>
        </w:rPr>
        <w:t>集生产、</w:t>
      </w:r>
      <w:r>
        <w:rPr>
          <w:rFonts w:hint="eastAsia" w:eastAsia="仿宋_GB2312"/>
          <w:color w:val="000000" w:themeColor="text1"/>
          <w:sz w:val="32"/>
          <w:szCs w:val="32"/>
          <w:highlight w:val="none"/>
          <w:lang w:val="en-US" w:eastAsia="zh-CN"/>
          <w14:textFill>
            <w14:solidFill>
              <w14:schemeClr w14:val="tx1"/>
            </w14:solidFill>
          </w14:textFill>
        </w:rPr>
        <w:t>集散、</w:t>
      </w:r>
      <w:r>
        <w:rPr>
          <w:rFonts w:hint="default" w:eastAsia="仿宋_GB2312"/>
          <w:color w:val="000000" w:themeColor="text1"/>
          <w:sz w:val="32"/>
          <w:szCs w:val="32"/>
          <w:highlight w:val="none"/>
          <w:lang w:val="en-US" w:eastAsia="zh-CN"/>
          <w14:textFill>
            <w14:solidFill>
              <w14:schemeClr w14:val="tx1"/>
            </w14:solidFill>
          </w14:textFill>
        </w:rPr>
        <w:t>流通、检验、检疫、通关、信息化等资源要素</w:t>
      </w:r>
      <w:r>
        <w:rPr>
          <w:rFonts w:hint="eastAsia" w:eastAsia="仿宋_GB2312"/>
          <w:color w:val="000000" w:themeColor="text1"/>
          <w:sz w:val="32"/>
          <w:szCs w:val="32"/>
          <w:highlight w:val="none"/>
          <w:lang w:val="en-US" w:eastAsia="zh-CN"/>
          <w14:textFill>
            <w14:solidFill>
              <w14:schemeClr w14:val="tx1"/>
            </w14:solidFill>
          </w14:textFill>
        </w:rPr>
        <w:t>于一体的便利化联动协同服务平台。通关便利区一般应具备农产品集散、高效的检验检疫通关服务等功能，是连接产区与港澳市场及国际市场的通道。根据地域位置，</w:t>
      </w:r>
      <w:r>
        <w:rPr>
          <w:rFonts w:hint="eastAsia" w:eastAsia="仿宋_GB2312"/>
          <w:b w:val="0"/>
          <w:bCs w:val="0"/>
          <w:color w:val="000000" w:themeColor="text1"/>
          <w:sz w:val="32"/>
          <w:szCs w:val="32"/>
          <w:highlight w:val="none"/>
          <w:lang w:val="en-US" w:eastAsia="zh-CN"/>
          <w14:textFill>
            <w14:solidFill>
              <w14:schemeClr w14:val="tx1"/>
            </w14:solidFill>
          </w14:textFill>
        </w:rPr>
        <w:t>统称为“</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粤港澳大湾区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eastAsia="仿宋_GB2312"/>
          <w:color w:val="000000" w:themeColor="text1"/>
          <w:sz w:val="32"/>
          <w:szCs w:val="32"/>
          <w:highlight w:val="none"/>
          <w:lang w:val="en-US" w:eastAsia="zh-CN"/>
          <w14:textFill>
            <w14:solidFill>
              <w14:schemeClr w14:val="tx1"/>
            </w14:solidFill>
          </w14:textFill>
        </w:rPr>
        <w:t>菜篮子</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通关（XX）便利区</w:t>
      </w:r>
      <w:r>
        <w:rPr>
          <w:rFonts w:hint="eastAsia" w:eastAsia="仿宋_GB2312"/>
          <w:b w:val="0"/>
          <w:bCs w:val="0"/>
          <w:color w:val="000000" w:themeColor="text1"/>
          <w:sz w:val="32"/>
          <w:szCs w:val="32"/>
          <w:highlight w:val="none"/>
          <w:lang w:val="en-US" w:eastAsia="zh-CN"/>
          <w14:textFill>
            <w14:solidFill>
              <w14:schemeClr w14:val="tx1"/>
            </w14:solidFill>
          </w14:textFill>
        </w:rPr>
        <w:t>”。</w:t>
      </w:r>
    </w:p>
    <w:p>
      <w:pPr>
        <w:rPr>
          <w:rFonts w:hint="default" w:ascii="Times New Roman" w:hAnsi="Times New Roman" w:eastAsia="黑体" w:cs="Times New Roman"/>
          <w:b w:val="0"/>
          <w:bCs w:val="0"/>
          <w:color w:val="000000" w:themeColor="text1"/>
          <w:sz w:val="32"/>
          <w:szCs w:val="32"/>
          <w:highlight w:val="none"/>
          <w:lang w:val="en-US" w:eastAsia="zh-CN"/>
          <w14:textFill>
            <w14:solidFill>
              <w14:schemeClr w14:val="tx1"/>
            </w14:solidFill>
          </w14:textFill>
        </w:rPr>
      </w:pPr>
    </w:p>
    <w:bookmarkEnd w:id="354"/>
    <w:p>
      <w:pPr>
        <w:pStyle w:val="29"/>
        <w:spacing w:line="360" w:lineRule="auto"/>
        <w:ind w:left="0" w:leftChars="0" w:firstLine="0" w:firstLineChars="0"/>
        <w:jc w:val="center"/>
        <w:rPr>
          <w:rFonts w:hint="default" w:ascii="黑体" w:hAnsi="黑体" w:eastAsia="黑体" w:cs="黑体"/>
          <w:b w:val="0"/>
          <w:bCs w:val="0"/>
          <w:color w:val="000000" w:themeColor="text1"/>
          <w:sz w:val="28"/>
          <w:szCs w:val="21"/>
          <w:highlight w:val="none"/>
          <w:lang w:val="en-US" w:eastAsia="zh-CN"/>
          <w14:textFill>
            <w14:solidFill>
              <w14:schemeClr w14:val="tx1"/>
            </w14:solidFill>
          </w14:textFill>
        </w:rPr>
      </w:pPr>
    </w:p>
    <w:sectPr>
      <w:pgSz w:w="11906" w:h="16838"/>
      <w:pgMar w:top="2098" w:right="1474" w:bottom="1984" w:left="147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08B22D-1CFC-49A9-B005-C6B7A657D98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503E7C64-208D-440E-922B-08D39CC3BEA3}"/>
  </w:font>
  <w:font w:name="方正小标宋简体">
    <w:panose1 w:val="03000509000000000000"/>
    <w:charset w:val="86"/>
    <w:family w:val="auto"/>
    <w:pitch w:val="default"/>
    <w:sig w:usb0="00000001" w:usb1="080E0000" w:usb2="00000000" w:usb3="00000000" w:csb0="00040000" w:csb1="00000000"/>
    <w:embedRegular r:id="rId3" w:fontKey="{F0A5CB79-317D-43EC-8B3D-1C653B2783A1}"/>
  </w:font>
  <w:font w:name="楷体_GB2312">
    <w:panose1 w:val="02010609030101010101"/>
    <w:charset w:val="86"/>
    <w:family w:val="modern"/>
    <w:pitch w:val="default"/>
    <w:sig w:usb0="00000001" w:usb1="080E0000" w:usb2="00000000" w:usb3="00000000" w:csb0="00040000" w:csb1="00000000"/>
    <w:embedRegular r:id="rId4" w:fontKey="{11119A06-8070-4595-B594-4225A8A6D6E2}"/>
  </w:font>
  <w:font w:name="仿宋">
    <w:panose1 w:val="02010609060101010101"/>
    <w:charset w:val="86"/>
    <w:family w:val="auto"/>
    <w:pitch w:val="default"/>
    <w:sig w:usb0="800002BF" w:usb1="38CF7CFA" w:usb2="00000016" w:usb3="00000000" w:csb0="00040001" w:csb1="00000000"/>
    <w:embedRegular r:id="rId5" w:fontKey="{F46A3C17-0708-4E1C-9606-140DDA8CB203}"/>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10</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qODK4BAABLAwAADgAAAGRycy9lMm9Eb2MueG1srVPNThsxEL5X4h0s&#10;34mXC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mo4MrgEAAEsD&#10;AAAOAAAAAAAAAAEAIAAAAB4BAABkcnMvZTJvRG9jLnhtbFBLBQYAAAAABgAGAFkBAAA+BQAAAAA=&#10;">
              <v:fill on="f" focussize="0,0"/>
              <v:stroke on="f"/>
              <v:imagedata o:title=""/>
              <o:lock v:ext="edit" aspectratio="f"/>
              <v:textbox inset="0mm,0mm,0mm,0mm" style="mso-fit-shape-to-text:t;">
                <w:txbxContent>
                  <w:p>
                    <w:pPr>
                      <w:pStyle w:val="12"/>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10</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E0FD4"/>
    <w:multiLevelType w:val="multilevel"/>
    <w:tmpl w:val="453E0FD4"/>
    <w:lvl w:ilvl="0" w:tentative="0">
      <w:start w:val="1"/>
      <w:numFmt w:val="upperRoman"/>
      <w:lvlText w:val="第 %1 条"/>
      <w:lvlJc w:val="left"/>
      <w:pPr>
        <w:ind w:left="0" w:firstLine="0"/>
      </w:pPr>
    </w:lvl>
    <w:lvl w:ilvl="1" w:tentative="0">
      <w:start w:val="1"/>
      <w:numFmt w:val="decimalZero"/>
      <w:isLgl/>
      <w:lvlText w:val="节 %1.%2"/>
      <w:lvlJc w:val="left"/>
      <w:pPr>
        <w:ind w:left="0" w:firstLine="0"/>
      </w:pPr>
    </w:lvl>
    <w:lvl w:ilvl="2" w:tentative="0">
      <w:start w:val="1"/>
      <w:numFmt w:val="lowerLetter"/>
      <w:pStyle w:val="6"/>
      <w:lvlText w:val="(%3)"/>
      <w:lvlJc w:val="left"/>
      <w:pPr>
        <w:ind w:left="720" w:hanging="432"/>
      </w:pPr>
    </w:lvl>
    <w:lvl w:ilvl="3" w:tentative="0">
      <w:start w:val="1"/>
      <w:numFmt w:val="lowerRoman"/>
      <w:lvlText w:val="(%4)"/>
      <w:lvlJc w:val="right"/>
      <w:pPr>
        <w:ind w:left="864" w:hanging="144"/>
      </w:pPr>
    </w:lvl>
    <w:lvl w:ilvl="4" w:tentative="0">
      <w:start w:val="1"/>
      <w:numFmt w:val="decimal"/>
      <w:lvlText w:val="%5)"/>
      <w:lvlJc w:val="left"/>
      <w:pPr>
        <w:ind w:left="1008" w:hanging="432"/>
      </w:pPr>
    </w:lvl>
    <w:lvl w:ilvl="5" w:tentative="0">
      <w:start w:val="1"/>
      <w:numFmt w:val="lowerLetter"/>
      <w:lvlText w:val="%6)"/>
      <w:lvlJc w:val="left"/>
      <w:pPr>
        <w:ind w:left="1152" w:hanging="432"/>
      </w:pPr>
    </w:lvl>
    <w:lvl w:ilvl="6" w:tentative="0">
      <w:start w:val="1"/>
      <w:numFmt w:val="lowerRoman"/>
      <w:lvlText w:val="%7)"/>
      <w:lvlJc w:val="right"/>
      <w:pPr>
        <w:ind w:left="1296" w:hanging="288"/>
      </w:pPr>
    </w:lvl>
    <w:lvl w:ilvl="7" w:tentative="0">
      <w:start w:val="1"/>
      <w:numFmt w:val="lowerLetter"/>
      <w:lvlText w:val="%8."/>
      <w:lvlJc w:val="left"/>
      <w:pPr>
        <w:ind w:left="1440" w:hanging="432"/>
      </w:pPr>
    </w:lvl>
    <w:lvl w:ilvl="8" w:tentative="0">
      <w:start w:val="1"/>
      <w:numFmt w:val="lowerRoman"/>
      <w:lvlText w:val="%9."/>
      <w:lvlJc w:val="right"/>
      <w:pPr>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kMGRiYzAzMDI1YTJiN2MwZTM4YTIyZDQ0OTVhYTIifQ=="/>
    <w:docVar w:name="KSO_WPS_MARK_KEY" w:val="5a52cd78-14e6-4524-8012-1c81dada7cd2"/>
  </w:docVars>
  <w:rsids>
    <w:rsidRoot w:val="00000000"/>
    <w:rsid w:val="00D02373"/>
    <w:rsid w:val="011035B1"/>
    <w:rsid w:val="02760536"/>
    <w:rsid w:val="02F81776"/>
    <w:rsid w:val="0313544C"/>
    <w:rsid w:val="03D67AB3"/>
    <w:rsid w:val="04407A2B"/>
    <w:rsid w:val="04416037"/>
    <w:rsid w:val="04566C7F"/>
    <w:rsid w:val="046461ED"/>
    <w:rsid w:val="04B829AA"/>
    <w:rsid w:val="05107DAB"/>
    <w:rsid w:val="058C361D"/>
    <w:rsid w:val="05A36C97"/>
    <w:rsid w:val="05B80C59"/>
    <w:rsid w:val="06007F0A"/>
    <w:rsid w:val="06324486"/>
    <w:rsid w:val="06532E6F"/>
    <w:rsid w:val="0670141C"/>
    <w:rsid w:val="07140111"/>
    <w:rsid w:val="071D4AEC"/>
    <w:rsid w:val="07333C83"/>
    <w:rsid w:val="07C56DAE"/>
    <w:rsid w:val="07D653C6"/>
    <w:rsid w:val="0808616E"/>
    <w:rsid w:val="083F4D94"/>
    <w:rsid w:val="086D5ABE"/>
    <w:rsid w:val="08A47272"/>
    <w:rsid w:val="091A7535"/>
    <w:rsid w:val="09554E5D"/>
    <w:rsid w:val="096018D7"/>
    <w:rsid w:val="09740AE7"/>
    <w:rsid w:val="098516BD"/>
    <w:rsid w:val="0A17700C"/>
    <w:rsid w:val="0A685C8E"/>
    <w:rsid w:val="0A7D1182"/>
    <w:rsid w:val="0A9F61E5"/>
    <w:rsid w:val="0B2B0FCC"/>
    <w:rsid w:val="0B365603"/>
    <w:rsid w:val="0B8B1E67"/>
    <w:rsid w:val="0B910804"/>
    <w:rsid w:val="0BB55B0D"/>
    <w:rsid w:val="0BCB7650"/>
    <w:rsid w:val="0BD66308"/>
    <w:rsid w:val="0BD753B0"/>
    <w:rsid w:val="0BD922D2"/>
    <w:rsid w:val="0BE03F52"/>
    <w:rsid w:val="0C141C9F"/>
    <w:rsid w:val="0C1630D6"/>
    <w:rsid w:val="0C2C2890"/>
    <w:rsid w:val="0C4F3BBB"/>
    <w:rsid w:val="0C970E9C"/>
    <w:rsid w:val="0CB714F9"/>
    <w:rsid w:val="0D0D4C46"/>
    <w:rsid w:val="0D896A37"/>
    <w:rsid w:val="0D930EA5"/>
    <w:rsid w:val="0DA45EE9"/>
    <w:rsid w:val="0DDA3028"/>
    <w:rsid w:val="0E0B0B62"/>
    <w:rsid w:val="0E4E5B68"/>
    <w:rsid w:val="0E572FD9"/>
    <w:rsid w:val="0E5C278F"/>
    <w:rsid w:val="0E68241E"/>
    <w:rsid w:val="0E722224"/>
    <w:rsid w:val="0E7748EF"/>
    <w:rsid w:val="0EB61DF5"/>
    <w:rsid w:val="0EDB336F"/>
    <w:rsid w:val="0F43348E"/>
    <w:rsid w:val="0F4F5A5E"/>
    <w:rsid w:val="0F5E7048"/>
    <w:rsid w:val="0F644452"/>
    <w:rsid w:val="0F726144"/>
    <w:rsid w:val="0FB029A1"/>
    <w:rsid w:val="0FBE508B"/>
    <w:rsid w:val="1002254F"/>
    <w:rsid w:val="10376CF4"/>
    <w:rsid w:val="10460C9A"/>
    <w:rsid w:val="106612B1"/>
    <w:rsid w:val="10B4275E"/>
    <w:rsid w:val="111F5705"/>
    <w:rsid w:val="11D03009"/>
    <w:rsid w:val="11D15A7D"/>
    <w:rsid w:val="12394C19"/>
    <w:rsid w:val="12A44694"/>
    <w:rsid w:val="13076D7C"/>
    <w:rsid w:val="146B64E4"/>
    <w:rsid w:val="14725D8D"/>
    <w:rsid w:val="14AA1FD7"/>
    <w:rsid w:val="14DF4090"/>
    <w:rsid w:val="152A5477"/>
    <w:rsid w:val="154F67B8"/>
    <w:rsid w:val="1582471A"/>
    <w:rsid w:val="159D57D1"/>
    <w:rsid w:val="16011483"/>
    <w:rsid w:val="166556BD"/>
    <w:rsid w:val="16770FB6"/>
    <w:rsid w:val="167F1ECB"/>
    <w:rsid w:val="169871F4"/>
    <w:rsid w:val="16A57AF1"/>
    <w:rsid w:val="16C020FA"/>
    <w:rsid w:val="16DE0501"/>
    <w:rsid w:val="16E10609"/>
    <w:rsid w:val="16F75EC5"/>
    <w:rsid w:val="17081314"/>
    <w:rsid w:val="171F4113"/>
    <w:rsid w:val="172B797A"/>
    <w:rsid w:val="173165E0"/>
    <w:rsid w:val="174D4CF4"/>
    <w:rsid w:val="175C504B"/>
    <w:rsid w:val="179B0491"/>
    <w:rsid w:val="17AE1E57"/>
    <w:rsid w:val="17CA0378"/>
    <w:rsid w:val="17D71199"/>
    <w:rsid w:val="181A20E3"/>
    <w:rsid w:val="182F0FA4"/>
    <w:rsid w:val="18381785"/>
    <w:rsid w:val="18403D14"/>
    <w:rsid w:val="18632F24"/>
    <w:rsid w:val="187A7FF0"/>
    <w:rsid w:val="197832B7"/>
    <w:rsid w:val="198B781A"/>
    <w:rsid w:val="199F4F3D"/>
    <w:rsid w:val="19D14DF7"/>
    <w:rsid w:val="19F636A6"/>
    <w:rsid w:val="19F847EA"/>
    <w:rsid w:val="1A333A07"/>
    <w:rsid w:val="1A733834"/>
    <w:rsid w:val="1A7836D2"/>
    <w:rsid w:val="1A9B1761"/>
    <w:rsid w:val="1AB32FE4"/>
    <w:rsid w:val="1AF839AF"/>
    <w:rsid w:val="1B1E43B9"/>
    <w:rsid w:val="1B744480"/>
    <w:rsid w:val="1BD977BB"/>
    <w:rsid w:val="1C4E2E95"/>
    <w:rsid w:val="1CE97840"/>
    <w:rsid w:val="1CEE0475"/>
    <w:rsid w:val="1D1722B1"/>
    <w:rsid w:val="1D862F93"/>
    <w:rsid w:val="1E2275B8"/>
    <w:rsid w:val="1E3D10A5"/>
    <w:rsid w:val="1EB37F00"/>
    <w:rsid w:val="1EED7036"/>
    <w:rsid w:val="1F0548BA"/>
    <w:rsid w:val="1F483441"/>
    <w:rsid w:val="1F8A1887"/>
    <w:rsid w:val="1FD75D28"/>
    <w:rsid w:val="207B4905"/>
    <w:rsid w:val="20997101"/>
    <w:rsid w:val="20AC4E9E"/>
    <w:rsid w:val="20B95C87"/>
    <w:rsid w:val="20EF1335"/>
    <w:rsid w:val="211B1C44"/>
    <w:rsid w:val="2129332F"/>
    <w:rsid w:val="2149055F"/>
    <w:rsid w:val="214D5749"/>
    <w:rsid w:val="215A3A84"/>
    <w:rsid w:val="229404CA"/>
    <w:rsid w:val="22AC2B5D"/>
    <w:rsid w:val="22AF0FE7"/>
    <w:rsid w:val="22C825C8"/>
    <w:rsid w:val="233504AD"/>
    <w:rsid w:val="23A57064"/>
    <w:rsid w:val="23D00652"/>
    <w:rsid w:val="23F83519"/>
    <w:rsid w:val="24160E44"/>
    <w:rsid w:val="245F009A"/>
    <w:rsid w:val="24A67D58"/>
    <w:rsid w:val="253C4685"/>
    <w:rsid w:val="25482E0F"/>
    <w:rsid w:val="25987BC0"/>
    <w:rsid w:val="25994DBD"/>
    <w:rsid w:val="25BD6C5D"/>
    <w:rsid w:val="260D60F8"/>
    <w:rsid w:val="261F21D6"/>
    <w:rsid w:val="26204A8C"/>
    <w:rsid w:val="26237393"/>
    <w:rsid w:val="264D6A56"/>
    <w:rsid w:val="26534B05"/>
    <w:rsid w:val="265F15CA"/>
    <w:rsid w:val="2684525A"/>
    <w:rsid w:val="26952DFA"/>
    <w:rsid w:val="27102F87"/>
    <w:rsid w:val="27554BF5"/>
    <w:rsid w:val="27895CC0"/>
    <w:rsid w:val="27917099"/>
    <w:rsid w:val="279F494D"/>
    <w:rsid w:val="27E229C8"/>
    <w:rsid w:val="27E81822"/>
    <w:rsid w:val="281D2B26"/>
    <w:rsid w:val="282F38FC"/>
    <w:rsid w:val="288B63E0"/>
    <w:rsid w:val="28C54E73"/>
    <w:rsid w:val="28CA349B"/>
    <w:rsid w:val="296D4EA5"/>
    <w:rsid w:val="2984472F"/>
    <w:rsid w:val="2987297C"/>
    <w:rsid w:val="29A56C4B"/>
    <w:rsid w:val="29D0298F"/>
    <w:rsid w:val="2A5A6815"/>
    <w:rsid w:val="2BA35F59"/>
    <w:rsid w:val="2BE23A8A"/>
    <w:rsid w:val="2BEC07B5"/>
    <w:rsid w:val="2C01402F"/>
    <w:rsid w:val="2C112A5C"/>
    <w:rsid w:val="2C2C714B"/>
    <w:rsid w:val="2C3D5BD9"/>
    <w:rsid w:val="2C4A75C9"/>
    <w:rsid w:val="2C6328F7"/>
    <w:rsid w:val="2C684905"/>
    <w:rsid w:val="2CC43190"/>
    <w:rsid w:val="2CC5618F"/>
    <w:rsid w:val="2CFA4BBD"/>
    <w:rsid w:val="2D27338B"/>
    <w:rsid w:val="2D49215D"/>
    <w:rsid w:val="2D697C6F"/>
    <w:rsid w:val="2D7F0E5B"/>
    <w:rsid w:val="2D8B7B8C"/>
    <w:rsid w:val="2DFE43F2"/>
    <w:rsid w:val="2E0229E6"/>
    <w:rsid w:val="2E0F0B68"/>
    <w:rsid w:val="2E1B3283"/>
    <w:rsid w:val="2E556795"/>
    <w:rsid w:val="2E5F1547"/>
    <w:rsid w:val="2E871365"/>
    <w:rsid w:val="2E8D7D70"/>
    <w:rsid w:val="2EE1338C"/>
    <w:rsid w:val="2EE4088E"/>
    <w:rsid w:val="2F3A58AB"/>
    <w:rsid w:val="2FC23CC1"/>
    <w:rsid w:val="2FD43E04"/>
    <w:rsid w:val="2FFE643A"/>
    <w:rsid w:val="300963EF"/>
    <w:rsid w:val="301A273A"/>
    <w:rsid w:val="306865BC"/>
    <w:rsid w:val="30BD3A67"/>
    <w:rsid w:val="31A12ECF"/>
    <w:rsid w:val="32065689"/>
    <w:rsid w:val="320875CB"/>
    <w:rsid w:val="323C2A03"/>
    <w:rsid w:val="3248142F"/>
    <w:rsid w:val="325111F7"/>
    <w:rsid w:val="326217B8"/>
    <w:rsid w:val="3275301D"/>
    <w:rsid w:val="32A60391"/>
    <w:rsid w:val="32ED58AF"/>
    <w:rsid w:val="33024A12"/>
    <w:rsid w:val="330716EF"/>
    <w:rsid w:val="33C959B9"/>
    <w:rsid w:val="33D939C5"/>
    <w:rsid w:val="33DA2B5A"/>
    <w:rsid w:val="340B6AB0"/>
    <w:rsid w:val="34136AF5"/>
    <w:rsid w:val="341E0659"/>
    <w:rsid w:val="3428552E"/>
    <w:rsid w:val="35190E0C"/>
    <w:rsid w:val="35A9748E"/>
    <w:rsid w:val="35B473ED"/>
    <w:rsid w:val="361619A3"/>
    <w:rsid w:val="365B3642"/>
    <w:rsid w:val="36A00386"/>
    <w:rsid w:val="36A378B5"/>
    <w:rsid w:val="36B94D23"/>
    <w:rsid w:val="36FD5633"/>
    <w:rsid w:val="371955A2"/>
    <w:rsid w:val="371F7A9E"/>
    <w:rsid w:val="37517D16"/>
    <w:rsid w:val="378B3228"/>
    <w:rsid w:val="379C4D83"/>
    <w:rsid w:val="37BD4A90"/>
    <w:rsid w:val="37C3311F"/>
    <w:rsid w:val="37CB1AF8"/>
    <w:rsid w:val="37F10B55"/>
    <w:rsid w:val="381345A1"/>
    <w:rsid w:val="38244A09"/>
    <w:rsid w:val="383A53B2"/>
    <w:rsid w:val="38521F98"/>
    <w:rsid w:val="3861167C"/>
    <w:rsid w:val="38F75F65"/>
    <w:rsid w:val="399B59B1"/>
    <w:rsid w:val="39CA6DC1"/>
    <w:rsid w:val="3A213CEE"/>
    <w:rsid w:val="3A8459C8"/>
    <w:rsid w:val="3A8E1406"/>
    <w:rsid w:val="3AB81D26"/>
    <w:rsid w:val="3AD25DDE"/>
    <w:rsid w:val="3AE93402"/>
    <w:rsid w:val="3B0939A5"/>
    <w:rsid w:val="3B781D15"/>
    <w:rsid w:val="3B7F1915"/>
    <w:rsid w:val="3B9430BF"/>
    <w:rsid w:val="3BB30F9F"/>
    <w:rsid w:val="3BBB1180"/>
    <w:rsid w:val="3BBB7696"/>
    <w:rsid w:val="3C131230"/>
    <w:rsid w:val="3C544E26"/>
    <w:rsid w:val="3CBC5EA8"/>
    <w:rsid w:val="3CF0554E"/>
    <w:rsid w:val="3D693452"/>
    <w:rsid w:val="3D7B0803"/>
    <w:rsid w:val="3D913B2D"/>
    <w:rsid w:val="3E1069E5"/>
    <w:rsid w:val="3E171F0B"/>
    <w:rsid w:val="3E540ED5"/>
    <w:rsid w:val="3E7F46FC"/>
    <w:rsid w:val="3E882231"/>
    <w:rsid w:val="3EEF0E70"/>
    <w:rsid w:val="3F2447D8"/>
    <w:rsid w:val="3F28437B"/>
    <w:rsid w:val="3F4C4B36"/>
    <w:rsid w:val="3F774DE4"/>
    <w:rsid w:val="3FFB67F8"/>
    <w:rsid w:val="40100583"/>
    <w:rsid w:val="40AA35E1"/>
    <w:rsid w:val="40D27340"/>
    <w:rsid w:val="410C7D5F"/>
    <w:rsid w:val="4110159D"/>
    <w:rsid w:val="41307A7B"/>
    <w:rsid w:val="413776D6"/>
    <w:rsid w:val="414C60B8"/>
    <w:rsid w:val="41792343"/>
    <w:rsid w:val="41961E9B"/>
    <w:rsid w:val="419D5C4C"/>
    <w:rsid w:val="41A2765F"/>
    <w:rsid w:val="41A66108"/>
    <w:rsid w:val="41AE77C9"/>
    <w:rsid w:val="41CE1D87"/>
    <w:rsid w:val="41F61B16"/>
    <w:rsid w:val="424B4644"/>
    <w:rsid w:val="425A2F19"/>
    <w:rsid w:val="429A0F3B"/>
    <w:rsid w:val="42DE5E18"/>
    <w:rsid w:val="433014BE"/>
    <w:rsid w:val="43506CA4"/>
    <w:rsid w:val="437341EC"/>
    <w:rsid w:val="440E3217"/>
    <w:rsid w:val="445B1CB7"/>
    <w:rsid w:val="44880DE8"/>
    <w:rsid w:val="449B0E89"/>
    <w:rsid w:val="44C566DA"/>
    <w:rsid w:val="459A555C"/>
    <w:rsid w:val="45C61898"/>
    <w:rsid w:val="46024FFD"/>
    <w:rsid w:val="46593C78"/>
    <w:rsid w:val="46631BC6"/>
    <w:rsid w:val="46841E89"/>
    <w:rsid w:val="46E26581"/>
    <w:rsid w:val="474C0821"/>
    <w:rsid w:val="475C67E5"/>
    <w:rsid w:val="47AB7F2C"/>
    <w:rsid w:val="483671E0"/>
    <w:rsid w:val="483B66C5"/>
    <w:rsid w:val="48874371"/>
    <w:rsid w:val="48A26E7A"/>
    <w:rsid w:val="48EF43A1"/>
    <w:rsid w:val="48F578E9"/>
    <w:rsid w:val="49822110"/>
    <w:rsid w:val="49AE2D87"/>
    <w:rsid w:val="49C061A1"/>
    <w:rsid w:val="49DB287E"/>
    <w:rsid w:val="4A574FE7"/>
    <w:rsid w:val="4A592231"/>
    <w:rsid w:val="4A682BC6"/>
    <w:rsid w:val="4AB949B5"/>
    <w:rsid w:val="4AE643F4"/>
    <w:rsid w:val="4AFB174B"/>
    <w:rsid w:val="4B745950"/>
    <w:rsid w:val="4B7F5BE0"/>
    <w:rsid w:val="4BF85676"/>
    <w:rsid w:val="4C0D389E"/>
    <w:rsid w:val="4C217641"/>
    <w:rsid w:val="4C2E0CD8"/>
    <w:rsid w:val="4C4E3E4C"/>
    <w:rsid w:val="4C667861"/>
    <w:rsid w:val="4CA931E5"/>
    <w:rsid w:val="4CFE403D"/>
    <w:rsid w:val="4D5163BE"/>
    <w:rsid w:val="4DB66CD2"/>
    <w:rsid w:val="4DFF619F"/>
    <w:rsid w:val="4E0833CC"/>
    <w:rsid w:val="4E2E1463"/>
    <w:rsid w:val="4E3046D1"/>
    <w:rsid w:val="4E570393"/>
    <w:rsid w:val="4EA95EF9"/>
    <w:rsid w:val="4EBE5014"/>
    <w:rsid w:val="4F6B18E4"/>
    <w:rsid w:val="4F8F38FE"/>
    <w:rsid w:val="4FA46F1F"/>
    <w:rsid w:val="4FBC5FF7"/>
    <w:rsid w:val="4FC86390"/>
    <w:rsid w:val="4FCD3080"/>
    <w:rsid w:val="500655A0"/>
    <w:rsid w:val="50113623"/>
    <w:rsid w:val="505C6D00"/>
    <w:rsid w:val="507D032D"/>
    <w:rsid w:val="508807F5"/>
    <w:rsid w:val="50992571"/>
    <w:rsid w:val="50A36496"/>
    <w:rsid w:val="51150B64"/>
    <w:rsid w:val="51621E44"/>
    <w:rsid w:val="51692248"/>
    <w:rsid w:val="518F1FF6"/>
    <w:rsid w:val="51A165C2"/>
    <w:rsid w:val="51C0621F"/>
    <w:rsid w:val="51E95912"/>
    <w:rsid w:val="522A5134"/>
    <w:rsid w:val="52315099"/>
    <w:rsid w:val="52CE6BD3"/>
    <w:rsid w:val="52D84187"/>
    <w:rsid w:val="52F12D08"/>
    <w:rsid w:val="52F37B1A"/>
    <w:rsid w:val="52FE2C40"/>
    <w:rsid w:val="53BF68DD"/>
    <w:rsid w:val="541A0C2E"/>
    <w:rsid w:val="54603A3C"/>
    <w:rsid w:val="54843081"/>
    <w:rsid w:val="54B55930"/>
    <w:rsid w:val="54BA3601"/>
    <w:rsid w:val="54CC2697"/>
    <w:rsid w:val="54FE60CA"/>
    <w:rsid w:val="55281394"/>
    <w:rsid w:val="5561478B"/>
    <w:rsid w:val="55825753"/>
    <w:rsid w:val="55857E6E"/>
    <w:rsid w:val="55D84D57"/>
    <w:rsid w:val="56107F80"/>
    <w:rsid w:val="562F1C14"/>
    <w:rsid w:val="563E29F7"/>
    <w:rsid w:val="56ED97E7"/>
    <w:rsid w:val="571A2B7F"/>
    <w:rsid w:val="57DAF265"/>
    <w:rsid w:val="580A57B6"/>
    <w:rsid w:val="58182E8C"/>
    <w:rsid w:val="587C29ED"/>
    <w:rsid w:val="58B10DDD"/>
    <w:rsid w:val="58DF443A"/>
    <w:rsid w:val="591161EE"/>
    <w:rsid w:val="5929100F"/>
    <w:rsid w:val="599975CF"/>
    <w:rsid w:val="599B4817"/>
    <w:rsid w:val="5A5A2BDC"/>
    <w:rsid w:val="5AA42044"/>
    <w:rsid w:val="5AE63E04"/>
    <w:rsid w:val="5AEB5F83"/>
    <w:rsid w:val="5AEB6A58"/>
    <w:rsid w:val="5B193E01"/>
    <w:rsid w:val="5B1B41C3"/>
    <w:rsid w:val="5B2418EA"/>
    <w:rsid w:val="5B7E7DD1"/>
    <w:rsid w:val="5BEC60DC"/>
    <w:rsid w:val="5BFB4118"/>
    <w:rsid w:val="5C0700D9"/>
    <w:rsid w:val="5C3A2BC8"/>
    <w:rsid w:val="5C5C0099"/>
    <w:rsid w:val="5C656EA2"/>
    <w:rsid w:val="5C726B76"/>
    <w:rsid w:val="5C92406D"/>
    <w:rsid w:val="5CD706E4"/>
    <w:rsid w:val="5D0E6FEC"/>
    <w:rsid w:val="5DAD6CC3"/>
    <w:rsid w:val="5DB921A1"/>
    <w:rsid w:val="5DBD6D0A"/>
    <w:rsid w:val="5DC471DC"/>
    <w:rsid w:val="5DC51C1E"/>
    <w:rsid w:val="5DD8758A"/>
    <w:rsid w:val="5E1629CC"/>
    <w:rsid w:val="5E694AF2"/>
    <w:rsid w:val="5F300D0C"/>
    <w:rsid w:val="5F683F8F"/>
    <w:rsid w:val="5FDD35C9"/>
    <w:rsid w:val="5FE708B7"/>
    <w:rsid w:val="60094CD2"/>
    <w:rsid w:val="60142AA5"/>
    <w:rsid w:val="601D4F86"/>
    <w:rsid w:val="60E42A8F"/>
    <w:rsid w:val="61121E46"/>
    <w:rsid w:val="621B399D"/>
    <w:rsid w:val="63000568"/>
    <w:rsid w:val="632E315F"/>
    <w:rsid w:val="632F1D3B"/>
    <w:rsid w:val="63340CC0"/>
    <w:rsid w:val="6449461C"/>
    <w:rsid w:val="645A5F63"/>
    <w:rsid w:val="649452C2"/>
    <w:rsid w:val="64A57543"/>
    <w:rsid w:val="64A834DE"/>
    <w:rsid w:val="64D26E1E"/>
    <w:rsid w:val="65044496"/>
    <w:rsid w:val="65166369"/>
    <w:rsid w:val="65183A9D"/>
    <w:rsid w:val="653470F9"/>
    <w:rsid w:val="654523B9"/>
    <w:rsid w:val="659509F0"/>
    <w:rsid w:val="65982F01"/>
    <w:rsid w:val="65C53507"/>
    <w:rsid w:val="65D9231B"/>
    <w:rsid w:val="65EB4ABB"/>
    <w:rsid w:val="65EFDF1E"/>
    <w:rsid w:val="65F71905"/>
    <w:rsid w:val="66291CDA"/>
    <w:rsid w:val="664A36FF"/>
    <w:rsid w:val="664F214E"/>
    <w:rsid w:val="665C60D3"/>
    <w:rsid w:val="66897503"/>
    <w:rsid w:val="668C326B"/>
    <w:rsid w:val="66B77F1C"/>
    <w:rsid w:val="66FC2234"/>
    <w:rsid w:val="67BD5E11"/>
    <w:rsid w:val="67E650B8"/>
    <w:rsid w:val="682B45BB"/>
    <w:rsid w:val="69122A03"/>
    <w:rsid w:val="697E51AB"/>
    <w:rsid w:val="698145A0"/>
    <w:rsid w:val="699C788F"/>
    <w:rsid w:val="69C55A53"/>
    <w:rsid w:val="69F853B1"/>
    <w:rsid w:val="6A145893"/>
    <w:rsid w:val="6A232E2B"/>
    <w:rsid w:val="6A4A69BE"/>
    <w:rsid w:val="6A626763"/>
    <w:rsid w:val="6A667059"/>
    <w:rsid w:val="6AB444E4"/>
    <w:rsid w:val="6AB92B94"/>
    <w:rsid w:val="6B2162D3"/>
    <w:rsid w:val="6B5415A7"/>
    <w:rsid w:val="6BA8544F"/>
    <w:rsid w:val="6BDA1496"/>
    <w:rsid w:val="6BFB3673"/>
    <w:rsid w:val="6C0515A8"/>
    <w:rsid w:val="6C1B52F3"/>
    <w:rsid w:val="6C205268"/>
    <w:rsid w:val="6C314981"/>
    <w:rsid w:val="6C43333E"/>
    <w:rsid w:val="6C781F90"/>
    <w:rsid w:val="6CA67FCE"/>
    <w:rsid w:val="6CD4520A"/>
    <w:rsid w:val="6CE129CD"/>
    <w:rsid w:val="6D125ED9"/>
    <w:rsid w:val="6D343C06"/>
    <w:rsid w:val="6D7B4410"/>
    <w:rsid w:val="6D806684"/>
    <w:rsid w:val="6DB46C99"/>
    <w:rsid w:val="6DF610A7"/>
    <w:rsid w:val="6E110748"/>
    <w:rsid w:val="6E136F54"/>
    <w:rsid w:val="6E221385"/>
    <w:rsid w:val="6E9A5523"/>
    <w:rsid w:val="6EA22C01"/>
    <w:rsid w:val="6F022E3A"/>
    <w:rsid w:val="6F0A7D0B"/>
    <w:rsid w:val="6F336830"/>
    <w:rsid w:val="6F483947"/>
    <w:rsid w:val="6F5A0E53"/>
    <w:rsid w:val="6FEFAB3E"/>
    <w:rsid w:val="6FF37B75"/>
    <w:rsid w:val="6FFF26A3"/>
    <w:rsid w:val="700C6925"/>
    <w:rsid w:val="70554B7D"/>
    <w:rsid w:val="7099620F"/>
    <w:rsid w:val="70BFC491"/>
    <w:rsid w:val="710C79DD"/>
    <w:rsid w:val="713E2ADE"/>
    <w:rsid w:val="713E2B4E"/>
    <w:rsid w:val="71455BCB"/>
    <w:rsid w:val="71B043EA"/>
    <w:rsid w:val="71B96608"/>
    <w:rsid w:val="72375531"/>
    <w:rsid w:val="7250619D"/>
    <w:rsid w:val="72802971"/>
    <w:rsid w:val="72FFAEFD"/>
    <w:rsid w:val="733940E1"/>
    <w:rsid w:val="733C304D"/>
    <w:rsid w:val="735317AF"/>
    <w:rsid w:val="735A277F"/>
    <w:rsid w:val="73895B3F"/>
    <w:rsid w:val="739856E8"/>
    <w:rsid w:val="744E5C93"/>
    <w:rsid w:val="74C27582"/>
    <w:rsid w:val="74E42D62"/>
    <w:rsid w:val="755C1D29"/>
    <w:rsid w:val="75F8707D"/>
    <w:rsid w:val="7628238B"/>
    <w:rsid w:val="762D11D8"/>
    <w:rsid w:val="76413120"/>
    <w:rsid w:val="766660A3"/>
    <w:rsid w:val="7679685A"/>
    <w:rsid w:val="769431A0"/>
    <w:rsid w:val="76A17135"/>
    <w:rsid w:val="77224C93"/>
    <w:rsid w:val="7734348A"/>
    <w:rsid w:val="77461862"/>
    <w:rsid w:val="777E6311"/>
    <w:rsid w:val="77C10D2E"/>
    <w:rsid w:val="77CFE739"/>
    <w:rsid w:val="77F770E5"/>
    <w:rsid w:val="77FB2849"/>
    <w:rsid w:val="783D35F3"/>
    <w:rsid w:val="78682697"/>
    <w:rsid w:val="787F1A18"/>
    <w:rsid w:val="78DE1A75"/>
    <w:rsid w:val="791342C9"/>
    <w:rsid w:val="796727C0"/>
    <w:rsid w:val="797D0744"/>
    <w:rsid w:val="79A6119B"/>
    <w:rsid w:val="79D81289"/>
    <w:rsid w:val="79FFE9FE"/>
    <w:rsid w:val="7A1E3760"/>
    <w:rsid w:val="7A242046"/>
    <w:rsid w:val="7A252E00"/>
    <w:rsid w:val="7A32056B"/>
    <w:rsid w:val="7A6D4BCB"/>
    <w:rsid w:val="7A965AF7"/>
    <w:rsid w:val="7AAA0961"/>
    <w:rsid w:val="7AAE3862"/>
    <w:rsid w:val="7AEC5CD0"/>
    <w:rsid w:val="7AF1431C"/>
    <w:rsid w:val="7B200227"/>
    <w:rsid w:val="7B2965AD"/>
    <w:rsid w:val="7B2E453E"/>
    <w:rsid w:val="7B3557A9"/>
    <w:rsid w:val="7B5178B1"/>
    <w:rsid w:val="7B531143"/>
    <w:rsid w:val="7B5D5A4D"/>
    <w:rsid w:val="7B71A62D"/>
    <w:rsid w:val="7B7F481D"/>
    <w:rsid w:val="7B800413"/>
    <w:rsid w:val="7B962F27"/>
    <w:rsid w:val="7C044EAF"/>
    <w:rsid w:val="7C6D7701"/>
    <w:rsid w:val="7C706C93"/>
    <w:rsid w:val="7CAA7BC3"/>
    <w:rsid w:val="7D944355"/>
    <w:rsid w:val="7DA41F1A"/>
    <w:rsid w:val="7DB73E9A"/>
    <w:rsid w:val="7DDD7747"/>
    <w:rsid w:val="7DF22173"/>
    <w:rsid w:val="7DF36A7B"/>
    <w:rsid w:val="7DF92603"/>
    <w:rsid w:val="7E296C1A"/>
    <w:rsid w:val="7E7E0F06"/>
    <w:rsid w:val="7E9D12F1"/>
    <w:rsid w:val="7EBE0DBA"/>
    <w:rsid w:val="7EC3440E"/>
    <w:rsid w:val="7EC7C184"/>
    <w:rsid w:val="7EF0591A"/>
    <w:rsid w:val="7EFAF0E4"/>
    <w:rsid w:val="7F5ECF9A"/>
    <w:rsid w:val="7F7DB14B"/>
    <w:rsid w:val="7FA74E50"/>
    <w:rsid w:val="7FE51603"/>
    <w:rsid w:val="7FFF01DD"/>
    <w:rsid w:val="9D4B5CFF"/>
    <w:rsid w:val="9DBD6E32"/>
    <w:rsid w:val="9E7F25CF"/>
    <w:rsid w:val="AAE752D7"/>
    <w:rsid w:val="AFED61E7"/>
    <w:rsid w:val="B9FB3ED0"/>
    <w:rsid w:val="BF6CCD3A"/>
    <w:rsid w:val="CFC064D3"/>
    <w:rsid w:val="D3FFB8F9"/>
    <w:rsid w:val="DE7E5E12"/>
    <w:rsid w:val="DF7F4D84"/>
    <w:rsid w:val="DFD37116"/>
    <w:rsid w:val="DFED4BAE"/>
    <w:rsid w:val="E3772AFD"/>
    <w:rsid w:val="EB8A9877"/>
    <w:rsid w:val="EDFF0E54"/>
    <w:rsid w:val="EEAF43CF"/>
    <w:rsid w:val="EF399FAD"/>
    <w:rsid w:val="EFBEF785"/>
    <w:rsid w:val="EFEE773B"/>
    <w:rsid w:val="EFFFB79E"/>
    <w:rsid w:val="F3FFDD7B"/>
    <w:rsid w:val="F52F09C4"/>
    <w:rsid w:val="F57F3873"/>
    <w:rsid w:val="F5DB05C2"/>
    <w:rsid w:val="F7AFEB34"/>
    <w:rsid w:val="F7E60319"/>
    <w:rsid w:val="F7EE4FD5"/>
    <w:rsid w:val="FBDEE4D7"/>
    <w:rsid w:val="FBEE9163"/>
    <w:rsid w:val="FBF52925"/>
    <w:rsid w:val="FDFC2FF3"/>
    <w:rsid w:val="FED72FAE"/>
    <w:rsid w:val="FEFFF540"/>
    <w:rsid w:val="FF0F4BED"/>
    <w:rsid w:val="FF6F6E21"/>
    <w:rsid w:val="FF7E28A6"/>
    <w:rsid w:val="FFEFCF1F"/>
    <w:rsid w:val="FFF696BD"/>
    <w:rsid w:val="FFF79A94"/>
    <w:rsid w:val="FFFB2EE1"/>
    <w:rsid w:val="FFFBC296"/>
    <w:rsid w:val="FFFBFA8F"/>
    <w:rsid w:val="FFFBFEAB"/>
    <w:rsid w:val="FFFE0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qFormat/>
    <w:uiPriority w:val="9"/>
    <w:pPr>
      <w:keepNext/>
      <w:keepLines/>
      <w:spacing w:before="260" w:after="260" w:line="416" w:lineRule="auto"/>
      <w:outlineLvl w:val="1"/>
    </w:pPr>
    <w:rPr>
      <w:rFonts w:ascii="宋体" w:hAnsi="宋体" w:eastAsia="宋体" w:cs="Times New Roman"/>
      <w:b/>
      <w:bCs/>
      <w:sz w:val="30"/>
      <w:szCs w:val="30"/>
    </w:rPr>
  </w:style>
  <w:style w:type="paragraph" w:styleId="6">
    <w:name w:val="heading 3"/>
    <w:basedOn w:val="1"/>
    <w:next w:val="1"/>
    <w:qFormat/>
    <w:uiPriority w:val="0"/>
    <w:pPr>
      <w:keepNext/>
      <w:keepLines/>
      <w:numPr>
        <w:ilvl w:val="2"/>
        <w:numId w:val="1"/>
      </w:numPr>
      <w:spacing w:before="260" w:after="260" w:line="416" w:lineRule="auto"/>
      <w:outlineLvl w:val="2"/>
    </w:pPr>
    <w:rPr>
      <w:b/>
      <w:bCs/>
      <w:sz w:val="32"/>
      <w:szCs w:val="32"/>
    </w:rPr>
  </w:style>
  <w:style w:type="character" w:default="1" w:styleId="17">
    <w:name w:val="Default Paragraph Font"/>
    <w:semiHidden/>
    <w:qFormat/>
    <w:uiPriority w:val="0"/>
  </w:style>
  <w:style w:type="table" w:default="1" w:styleId="27">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unhideWhenUsed/>
    <w:qFormat/>
    <w:uiPriority w:val="0"/>
    <w:pPr>
      <w:spacing w:beforeLines="0" w:afterLines="0"/>
      <w:ind w:firstLine="420"/>
    </w:pPr>
    <w:rPr>
      <w:rFonts w:hint="default"/>
      <w:sz w:val="21"/>
      <w:szCs w:val="24"/>
    </w:rPr>
  </w:style>
  <w:style w:type="paragraph" w:styleId="3">
    <w:name w:val="Body Text Indent"/>
    <w:basedOn w:val="1"/>
    <w:unhideWhenUsed/>
    <w:qFormat/>
    <w:uiPriority w:val="0"/>
    <w:pPr>
      <w:spacing w:beforeLines="0" w:after="120" w:afterLines="0"/>
      <w:ind w:left="420" w:leftChars="200"/>
    </w:pPr>
    <w:rPr>
      <w:rFonts w:hint="default" w:ascii="Times New Roman" w:hAnsi="Times New Roman" w:eastAsia="宋体"/>
      <w:snapToGrid/>
      <w:kern w:val="2"/>
      <w:sz w:val="21"/>
      <w:szCs w:val="24"/>
    </w:rPr>
  </w:style>
  <w:style w:type="paragraph" w:styleId="7">
    <w:name w:val="annotation text"/>
    <w:basedOn w:val="1"/>
    <w:qFormat/>
    <w:uiPriority w:val="0"/>
    <w:pPr>
      <w:jc w:val="left"/>
    </w:pPr>
  </w:style>
  <w:style w:type="paragraph" w:styleId="8">
    <w:name w:val="Body Text"/>
    <w:basedOn w:val="1"/>
    <w:next w:val="9"/>
    <w:qFormat/>
    <w:uiPriority w:val="0"/>
    <w:pPr>
      <w:spacing w:after="120"/>
    </w:pPr>
    <w:rPr>
      <w:spacing w:val="4"/>
    </w:rPr>
  </w:style>
  <w:style w:type="paragraph" w:customStyle="1" w:styleId="9">
    <w:name w:val="p0"/>
    <w:basedOn w:val="1"/>
    <w:next w:val="1"/>
    <w:qFormat/>
    <w:uiPriority w:val="0"/>
    <w:pPr>
      <w:widowControl/>
    </w:pPr>
    <w:rPr>
      <w:rFonts w:ascii="Times New Roman" w:hAnsi="Times New Roman" w:eastAsia="宋体" w:cs="Times New Roman"/>
      <w:kern w:val="0"/>
    </w:rPr>
  </w:style>
  <w:style w:type="paragraph" w:styleId="10">
    <w:name w:val="Plain Text"/>
    <w:basedOn w:val="1"/>
    <w:unhideWhenUsed/>
    <w:qFormat/>
    <w:uiPriority w:val="0"/>
    <w:rPr>
      <w:rFonts w:ascii="宋体" w:hAnsi="Courier New"/>
    </w:rPr>
  </w:style>
  <w:style w:type="paragraph" w:styleId="11">
    <w:name w:val="Body Text Indent 2"/>
    <w:basedOn w:val="1"/>
    <w:next w:val="1"/>
    <w:qFormat/>
    <w:uiPriority w:val="0"/>
    <w:pPr>
      <w:spacing w:after="120" w:line="480" w:lineRule="auto"/>
      <w:ind w:left="420" w:leftChars="200"/>
    </w:pPr>
    <w:rPr>
      <w:rFonts w:ascii="Times New Roman" w:hAnsi="Times New Roman" w:eastAsia="楷体"/>
    </w:rPr>
  </w:style>
  <w:style w:type="paragraph" w:styleId="12">
    <w:name w:val="footer"/>
    <w:basedOn w:val="1"/>
    <w:unhideWhenUsed/>
    <w:qFormat/>
    <w:uiPriority w:val="99"/>
    <w:pPr>
      <w:tabs>
        <w:tab w:val="center" w:pos="4153"/>
        <w:tab w:val="right" w:pos="8306"/>
      </w:tabs>
      <w:snapToGrid w:val="0"/>
      <w:jc w:val="left"/>
    </w:pPr>
    <w:rPr>
      <w:kern w:val="0"/>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8">
    <w:name w:val="Strong"/>
    <w:basedOn w:val="17"/>
    <w:qFormat/>
    <w:uiPriority w:val="0"/>
    <w:rPr>
      <w:b/>
    </w:rPr>
  </w:style>
  <w:style w:type="character" w:styleId="19">
    <w:name w:val="FollowedHyperlink"/>
    <w:basedOn w:val="17"/>
    <w:qFormat/>
    <w:uiPriority w:val="0"/>
    <w:rPr>
      <w:color w:val="333333"/>
      <w:u w:val="none"/>
    </w:rPr>
  </w:style>
  <w:style w:type="character" w:styleId="20">
    <w:name w:val="Emphasis"/>
    <w:basedOn w:val="17"/>
    <w:qFormat/>
    <w:uiPriority w:val="0"/>
  </w:style>
  <w:style w:type="character" w:styleId="21">
    <w:name w:val="HTML Definition"/>
    <w:basedOn w:val="17"/>
    <w:qFormat/>
    <w:uiPriority w:val="0"/>
  </w:style>
  <w:style w:type="character" w:styleId="22">
    <w:name w:val="HTML Acronym"/>
    <w:basedOn w:val="17"/>
    <w:qFormat/>
    <w:uiPriority w:val="0"/>
  </w:style>
  <w:style w:type="character" w:styleId="23">
    <w:name w:val="HTML Variable"/>
    <w:basedOn w:val="17"/>
    <w:qFormat/>
    <w:uiPriority w:val="0"/>
  </w:style>
  <w:style w:type="character" w:styleId="24">
    <w:name w:val="Hyperlink"/>
    <w:basedOn w:val="17"/>
    <w:qFormat/>
    <w:uiPriority w:val="0"/>
    <w:rPr>
      <w:color w:val="333333"/>
      <w:u w:val="none"/>
    </w:rPr>
  </w:style>
  <w:style w:type="character" w:styleId="25">
    <w:name w:val="HTML Code"/>
    <w:basedOn w:val="17"/>
    <w:qFormat/>
    <w:uiPriority w:val="0"/>
    <w:rPr>
      <w:rFonts w:hint="eastAsia" w:ascii="微软雅黑" w:hAnsi="微软雅黑" w:eastAsia="微软雅黑" w:cs="微软雅黑"/>
      <w:sz w:val="14"/>
      <w:szCs w:val="14"/>
    </w:rPr>
  </w:style>
  <w:style w:type="character" w:styleId="26">
    <w:name w:val="HTML Cite"/>
    <w:basedOn w:val="17"/>
    <w:qFormat/>
    <w:uiPriority w:val="0"/>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29">
    <w:name w:val="List Paragraph"/>
    <w:basedOn w:val="1"/>
    <w:qFormat/>
    <w:uiPriority w:val="34"/>
    <w:pPr>
      <w:ind w:firstLine="420" w:firstLineChars="200"/>
    </w:pPr>
    <w:rPr>
      <w:rFonts w:ascii="宋体" w:hAnsi="宋体" w:cstheme="minorBidi"/>
      <w:kern w:val="0"/>
      <w:szCs w:val="21"/>
    </w:rPr>
  </w:style>
  <w:style w:type="character" w:customStyle="1" w:styleId="30">
    <w:name w:val="selected"/>
    <w:basedOn w:val="17"/>
    <w:qFormat/>
    <w:uiPriority w:val="0"/>
  </w:style>
  <w:style w:type="character" w:customStyle="1" w:styleId="31">
    <w:name w:val="after"/>
    <w:basedOn w:val="17"/>
    <w:qFormat/>
    <w:uiPriority w:val="0"/>
    <w:rPr>
      <w:shd w:val="clear" w:fill="D60000"/>
    </w:rPr>
  </w:style>
  <w:style w:type="character" w:customStyle="1" w:styleId="32">
    <w:name w:val="after1"/>
    <w:basedOn w:val="17"/>
    <w:qFormat/>
    <w:uiPriority w:val="0"/>
  </w:style>
  <w:style w:type="character" w:customStyle="1" w:styleId="33">
    <w:name w:val="after2"/>
    <w:basedOn w:val="17"/>
    <w:qFormat/>
    <w:uiPriority w:val="0"/>
  </w:style>
  <w:style w:type="character" w:customStyle="1" w:styleId="34">
    <w:name w:val="after3"/>
    <w:basedOn w:val="17"/>
    <w:qFormat/>
    <w:uiPriority w:val="0"/>
    <w:rPr>
      <w:vanish/>
    </w:rPr>
  </w:style>
  <w:style w:type="character" w:customStyle="1" w:styleId="35">
    <w:name w:val="hj-easyread-speakerprocesser-position-action-icon"/>
    <w:basedOn w:val="17"/>
    <w:qFormat/>
    <w:uiPriority w:val="0"/>
  </w:style>
  <w:style w:type="character" w:customStyle="1" w:styleId="36">
    <w:name w:val="dropselect_box"/>
    <w:basedOn w:val="17"/>
    <w:qFormat/>
    <w:uiPriority w:val="0"/>
  </w:style>
  <w:style w:type="character" w:customStyle="1" w:styleId="37">
    <w:name w:val="dropselect_box1"/>
    <w:basedOn w:val="17"/>
    <w:qFormat/>
    <w:uiPriority w:val="0"/>
    <w:rPr>
      <w:bdr w:val="single" w:color="E2E2E2" w:sz="4" w:space="0"/>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character" w:customStyle="1" w:styleId="40">
    <w:name w:val="font21"/>
    <w:basedOn w:val="17"/>
    <w:qFormat/>
    <w:uiPriority w:val="0"/>
    <w:rPr>
      <w:rFonts w:hint="eastAsia" w:ascii="宋体" w:hAnsi="宋体" w:eastAsia="宋体" w:cs="宋体"/>
      <w:color w:val="000000"/>
      <w:sz w:val="18"/>
      <w:szCs w:val="18"/>
      <w:u w:val="none"/>
    </w:rPr>
  </w:style>
  <w:style w:type="character" w:customStyle="1" w:styleId="41">
    <w:name w:val="font01"/>
    <w:basedOn w:val="17"/>
    <w:qFormat/>
    <w:uiPriority w:val="0"/>
    <w:rPr>
      <w:rFonts w:hint="default" w:ascii="Times New Roman" w:hAnsi="Times New Roman" w:cs="Times New Roman"/>
      <w:color w:val="000000"/>
      <w:sz w:val="18"/>
      <w:szCs w:val="18"/>
      <w:u w:val="none"/>
    </w:rPr>
  </w:style>
  <w:style w:type="character" w:customStyle="1" w:styleId="42">
    <w:name w:val="font11"/>
    <w:basedOn w:val="17"/>
    <w:qFormat/>
    <w:uiPriority w:val="0"/>
    <w:rPr>
      <w:rFonts w:hint="eastAsia" w:ascii="仿宋_GB2312" w:eastAsia="仿宋_GB2312" w:cs="仿宋_GB2312"/>
      <w:b/>
      <w:bCs/>
      <w:color w:val="000000"/>
      <w:sz w:val="24"/>
      <w:szCs w:val="24"/>
      <w:u w:val="none"/>
    </w:rPr>
  </w:style>
  <w:style w:type="paragraph" w:customStyle="1" w:styleId="43">
    <w:name w:val="NormalIndent"/>
    <w:basedOn w:val="1"/>
    <w:qFormat/>
    <w:uiPriority w:val="0"/>
    <w:pPr>
      <w:ind w:firstLine="420" w:firstLineChars="200"/>
    </w:pPr>
  </w:style>
  <w:style w:type="character" w:customStyle="1" w:styleId="44">
    <w:name w:val="NormalCharacter"/>
    <w:qFormat/>
    <w:uiPriority w:val="0"/>
    <w:rPr>
      <w:rFonts w:ascii="Calibri" w:hAnsi="Calibri" w:eastAsia="宋体" w:cs="Times New Roman"/>
      <w:kern w:val="2"/>
      <w:sz w:val="21"/>
      <w:szCs w:val="24"/>
      <w:lang w:val="en-US" w:eastAsia="zh-CN" w:bidi="ar-SA"/>
    </w:rPr>
  </w:style>
  <w:style w:type="character" w:customStyle="1" w:styleId="45">
    <w:name w:val="font41"/>
    <w:basedOn w:val="17"/>
    <w:qFormat/>
    <w:uiPriority w:val="0"/>
    <w:rPr>
      <w:rFonts w:hint="eastAsia" w:ascii="仿宋_GB2312" w:eastAsia="仿宋_GB2312" w:cs="仿宋_GB2312"/>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chart" Target="charts/chart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B:\&#26700;&#38754;\2022.9.2-&#28286;&#21306;&#33756;&#31726;&#23376;&#22522;&#22320;-&#35770;&#25991;\1.&#22522;&#30784;&#25968;&#25454;-&#28286;&#21306;&#33756;&#31726;&#23376;\&#31908;&#28207;&#28595;&#22823;&#28286;&#21306;&#8220;&#33756;&#31726;&#23376;&#8221;&#29983;&#20135;&#22522;&#22320;&#65288;&#24191;&#19996;&#30465;&#20869;&#65289;&#20998;&#24067;&#24773;&#209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chemeClr val="tx2"/>
                </a:solidFill>
                <a:latin typeface="+mn-lt"/>
                <a:ea typeface="+mn-ea"/>
                <a:cs typeface="+mn-cs"/>
              </a:defRPr>
            </a:pPr>
            <a:r>
              <a:t> </a:t>
            </a:r>
          </a:p>
        </c:rich>
      </c:tx>
      <c:layout/>
      <c:overlay val="0"/>
      <c:spPr>
        <a:noFill/>
        <a:ln>
          <a:noFill/>
        </a:ln>
        <a:effectLst/>
      </c:spPr>
    </c:title>
    <c:autoTitleDeleted val="0"/>
    <c:plotArea>
      <c:layout/>
      <c:barChart>
        <c:barDir val="col"/>
        <c:grouping val="clustered"/>
        <c:varyColors val="0"/>
        <c:ser>
          <c:idx val="0"/>
          <c:order val="0"/>
          <c:tx>
            <c:strRef>
              <c:f>'[粤港澳大湾区“菜篮子”生产基地（广东省内）分布情况.xlsx]Sheet1'!$B$1</c:f>
              <c:strCache>
                <c:ptCount val="1"/>
                <c:pt idx="0">
                  <c:v>数量（个）</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'[粤港澳大湾区“菜篮子”生产基地（广东省内）分布情况.xlsx]Sheet1'!$A$2:$A$21</c:f>
              <c:strCache>
                <c:ptCount val="20"/>
                <c:pt idx="0">
                  <c:v>广州市</c:v>
                </c:pt>
                <c:pt idx="1">
                  <c:v>梅州市</c:v>
                </c:pt>
                <c:pt idx="2">
                  <c:v>韶关市</c:v>
                </c:pt>
                <c:pt idx="3">
                  <c:v>清远市</c:v>
                </c:pt>
                <c:pt idx="4">
                  <c:v>江门市</c:v>
                </c:pt>
                <c:pt idx="5">
                  <c:v>云浮市</c:v>
                </c:pt>
                <c:pt idx="6">
                  <c:v>惠州市</c:v>
                </c:pt>
                <c:pt idx="7">
                  <c:v>珠海市</c:v>
                </c:pt>
                <c:pt idx="8">
                  <c:v>湛江市</c:v>
                </c:pt>
                <c:pt idx="9">
                  <c:v>河源市</c:v>
                </c:pt>
                <c:pt idx="10">
                  <c:v>肇庆市</c:v>
                </c:pt>
                <c:pt idx="11">
                  <c:v>中山市</c:v>
                </c:pt>
                <c:pt idx="12">
                  <c:v>佛山市</c:v>
                </c:pt>
                <c:pt idx="13">
                  <c:v>阳江市</c:v>
                </c:pt>
                <c:pt idx="14">
                  <c:v>茂名市</c:v>
                </c:pt>
                <c:pt idx="15">
                  <c:v>潮州市</c:v>
                </c:pt>
                <c:pt idx="16">
                  <c:v>汕尾市</c:v>
                </c:pt>
                <c:pt idx="17">
                  <c:v>东莞市</c:v>
                </c:pt>
                <c:pt idx="18">
                  <c:v>汕头市</c:v>
                </c:pt>
                <c:pt idx="19">
                  <c:v>揭阳市</c:v>
                </c:pt>
              </c:strCache>
            </c:strRef>
          </c:cat>
          <c:val>
            <c:numRef>
              <c:f>'[粤港澳大湾区“菜篮子”生产基地（广东省内）分布情况.xlsx]Sheet1'!$B$2:$B$21</c:f>
              <c:numCache>
                <c:formatCode>General</c:formatCode>
                <c:ptCount val="20"/>
                <c:pt idx="0">
                  <c:v>105</c:v>
                </c:pt>
                <c:pt idx="1">
                  <c:v>79</c:v>
                </c:pt>
                <c:pt idx="2">
                  <c:v>53</c:v>
                </c:pt>
                <c:pt idx="3">
                  <c:v>43</c:v>
                </c:pt>
                <c:pt idx="4">
                  <c:v>32</c:v>
                </c:pt>
                <c:pt idx="5">
                  <c:v>29</c:v>
                </c:pt>
                <c:pt idx="6">
                  <c:v>26</c:v>
                </c:pt>
                <c:pt idx="7">
                  <c:v>23</c:v>
                </c:pt>
                <c:pt idx="8">
                  <c:v>21</c:v>
                </c:pt>
                <c:pt idx="9">
                  <c:v>18</c:v>
                </c:pt>
                <c:pt idx="10">
                  <c:v>17</c:v>
                </c:pt>
                <c:pt idx="11">
                  <c:v>16</c:v>
                </c:pt>
                <c:pt idx="12">
                  <c:v>14</c:v>
                </c:pt>
                <c:pt idx="13">
                  <c:v>13</c:v>
                </c:pt>
                <c:pt idx="14">
                  <c:v>7</c:v>
                </c:pt>
                <c:pt idx="15">
                  <c:v>5</c:v>
                </c:pt>
                <c:pt idx="16">
                  <c:v>4</c:v>
                </c:pt>
                <c:pt idx="17">
                  <c:v>2</c:v>
                </c:pt>
                <c:pt idx="18">
                  <c:v>2</c:v>
                </c:pt>
                <c:pt idx="19">
                  <c:v>1</c:v>
                </c:pt>
              </c:numCache>
            </c:numRef>
          </c:val>
        </c:ser>
        <c:dLbls>
          <c:showLegendKey val="0"/>
          <c:showVal val="1"/>
          <c:showCatName val="0"/>
          <c:showSerName val="0"/>
          <c:showPercent val="0"/>
          <c:showBubbleSize val="0"/>
        </c:dLbls>
        <c:gapWidth val="100"/>
        <c:overlap val="-24"/>
        <c:axId val="286591232"/>
        <c:axId val="286605312"/>
      </c:barChart>
      <c:catAx>
        <c:axId val="286591232"/>
        <c:scaling>
          <c:orientation val="minMax"/>
        </c:scaling>
        <c:delete val="0"/>
        <c:axPos val="b"/>
        <c:title>
          <c:tx>
            <c:rich>
              <a:bodyPr rot="0" spcFirstLastPara="0" vertOverflow="ellipsis" vert="horz" wrap="square" anchor="ctr" anchorCtr="1"/>
              <a:lstStyle/>
              <a:p>
                <a:pPr defTabSz="914400">
                  <a:defRPr lang="zh-CN" sz="900" b="1" i="0" u="none" strike="noStrike" kern="1200" baseline="0">
                    <a:solidFill>
                      <a:schemeClr val="tx2"/>
                    </a:solidFill>
                    <a:latin typeface="+mn-lt"/>
                    <a:ea typeface="+mn-ea"/>
                    <a:cs typeface="+mn-cs"/>
                  </a:defRPr>
                </a:pPr>
                <a:r>
                  <a:t>地市</a:t>
                </a:r>
              </a:p>
            </c:rich>
          </c:tx>
          <c:layout/>
          <c:overlay val="0"/>
          <c:spPr>
            <a:noFill/>
            <a:ln>
              <a:noFill/>
            </a:ln>
            <a:effectLst/>
          </c:sp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286605312"/>
        <c:crosses val="autoZero"/>
        <c:auto val="1"/>
        <c:lblAlgn val="ctr"/>
        <c:lblOffset val="100"/>
        <c:noMultiLvlLbl val="0"/>
      </c:catAx>
      <c:valAx>
        <c:axId val="2866053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0" vertOverflow="ellipsis" vert="horz" wrap="square" anchor="ctr" anchorCtr="1"/>
              <a:lstStyle/>
              <a:p>
                <a:pPr defTabSz="914400">
                  <a:defRPr lang="zh-CN" sz="900" b="1" i="0" u="none" strike="noStrike" kern="1200" baseline="0">
                    <a:solidFill>
                      <a:schemeClr val="tx2"/>
                    </a:solidFill>
                    <a:latin typeface="+mn-lt"/>
                    <a:ea typeface="+mn-ea"/>
                    <a:cs typeface="+mn-cs"/>
                  </a:defRPr>
                </a:pPr>
                <a:r>
                  <a:t>数量（个）</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p>
        </c:txPr>
        <c:crossAx val="28659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20341</Words>
  <Characters>21031</Characters>
  <Lines>0</Lines>
  <Paragraphs>0</Paragraphs>
  <TotalTime>0</TotalTime>
  <ScaleCrop>false</ScaleCrop>
  <LinksUpToDate>false</LinksUpToDate>
  <CharactersWithSpaces>21209</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2022-06-17T03:36:00Z</dcterms:created>
  <dc:creator>lynn4</dc:creator>
  <cp:lastModifiedBy>谢曼莹1673944446715</cp:lastModifiedBy>
  <cp:lastPrinted>2023-10-27T18:46:00Z</cp:lastPrinted>
  <dcterms:modified xsi:type="dcterms:W3CDTF">2024-07-03T02:10:45Z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661AFAFFD3E54D1CB56E24B68C575347_13</vt:lpwstr>
  </property>
</Properties>
</file>