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99" w:rightChars="138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与医保政策对应的内部管理制度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请根据医疗机构实际情况制定，内部管理制度应至少包含以下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四个方面及各要素内容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4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医保管理制度：（一）医保管理组织架构及人员管理规定；（二）医保就医及结算管理规定；（三）医保病历及处方管理规定；（四）医保信息系统管理规定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zh-CN" w:eastAsia="zh-CN" w:bidi="ar"/>
        </w:rPr>
        <w:t>（含信息系统安全管理内容）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；（五）医保政策宣传及培训规定；（六）医保投诉及监督管理规定。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4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财务制度：（一）医疗费用查询及票据管理规定；（二）医保费用申报及结算管理规定；（三）医保基金收支核算及分析规定；（四）药品器械耗材进销存管理规定；（五）医保基金结算银行账户管理规定。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4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统计信息管理制度：（一）统计信息质量管理规定；（二）统计信息设备管理规定；（三）统计信息数据管理规定；（四）统计信息报送管理规定。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4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四、医疗质量安全核心制度（只需承诺是否已按卫健部门有关规定制订医疗质量安全核心制度，可不列出具体内容）。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1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F636C3"/>
    <w:multiLevelType w:val="singleLevel"/>
    <w:tmpl w:val="5FF636C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647E3"/>
    <w:rsid w:val="04415E0C"/>
    <w:rsid w:val="667647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2021-12-10T07:35:00Z</dcterms:created>
  <dc:creator>李丕</dc:creator>
  <cp:lastModifiedBy>李丕</cp:lastModifiedBy>
  <dcterms:modified xsi:type="dcterms:W3CDTF">2021-12-10T07:35:14Z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