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adjustRightInd w:val="0"/>
        <w:snapToGrid w:val="0"/>
        <w:spacing w:beforeAutospacing="0" w:afterAutospacing="0"/>
        <w:ind w:left="0" w:leftChars="0" w:right="0" w:firstLine="0" w:firstLineChars="0"/>
        <w:jc w:val="both"/>
        <w:rPr>
          <w:rFonts w:hint="default" w:ascii="Times New Roman" w:hAnsi="Times New Roman" w:eastAsia="方正小标宋_GBK" w:cs="Times New Roman"/>
          <w:bCs/>
          <w:color w:val="0C0C0C"/>
          <w:kern w:val="0"/>
          <w:sz w:val="44"/>
          <w:szCs w:val="44"/>
          <w:shd w:val="clear" w:color="auto" w:fill="FFFFFF"/>
          <w:lang w:val="en-US" w:eastAsia="zh-CN" w:bidi="ar"/>
        </w:rPr>
      </w:pPr>
      <w:bookmarkStart w:id="0" w:name="_GoBack"/>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广州市第五次全国经济普查公报（第七号）</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8"/>
          <w:szCs w:val="48"/>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——分区单位和从业人员情况</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240" w:lineRule="exact"/>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20" w:lineRule="exact"/>
        <w:ind w:left="0" w:leftChars="0" w:right="0" w:firstLine="0" w:firstLineChars="0"/>
        <w:jc w:val="both"/>
        <w:textAlignment w:val="auto"/>
        <w:rPr>
          <w:rFonts w:hint="default" w:ascii="Times New Roman" w:hAnsi="Times New Roman" w:cs="Times New Roman"/>
          <w:color w:val="0C0C0C"/>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根据第五次全国经济普查结果，现将我市分区的第二产业和第三产业单位及从业人员基本情况公布如下：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rightChars="0" w:firstLine="640" w:firstLineChars="200"/>
        <w:jc w:val="left"/>
        <w:textAlignment w:val="auto"/>
        <w:rPr>
          <w:rFonts w:hint="default" w:ascii="Times New Roman" w:hAnsi="Times New Roman" w:eastAsia="黑体" w:cs="Times New Roman"/>
          <w:b w:val="0"/>
          <w:bCs/>
          <w:i w:val="0"/>
          <w:caps w:val="0"/>
          <w:color w:val="0C0C0C"/>
          <w:spacing w:val="0"/>
          <w:kern w:val="0"/>
          <w:sz w:val="32"/>
          <w:szCs w:val="32"/>
          <w:highlight w:val="none"/>
          <w:lang w:val="en-US" w:eastAsia="zh-CN" w:bidi="ar"/>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一、单位情况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2023年末，全市共有从事第二产业和第三产业法人单位104.19万个，位居前三位的区是：天河区26.99万个，占25.9%；白云区16.78万个，占16.1%；番禺区14.31万个，占13.7%。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2023年末，全市共有从事第二产业和第三产业产业活动单位109.87万个，位居前三位的区是：天河区28.49万个，占25.9%；白云区17.40万个，占15.8%；番禺区15.03万个，占13.7%（详见表7-1）。</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500" w:lineRule="atLeast"/>
        <w:ind w:left="0" w:leftChars="0" w:right="0" w:firstLine="0" w:firstLineChars="0"/>
        <w:jc w:val="center"/>
        <w:textAlignment w:val="baseline"/>
        <w:rPr>
          <w:rStyle w:val="18"/>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b/>
          <w:bCs/>
          <w:i w:val="0"/>
          <w:iCs w:val="0"/>
          <w:color w:val="0C0C0C"/>
          <w:kern w:val="0"/>
          <w:sz w:val="24"/>
          <w:szCs w:val="24"/>
          <w:u w:val="none"/>
          <w:lang w:val="en-US" w:eastAsia="zh-CN" w:bidi="ar"/>
        </w:rPr>
        <w:t>表</w:t>
      </w:r>
      <w:r>
        <w:rPr>
          <w:rStyle w:val="17"/>
          <w:rFonts w:hint="default" w:ascii="Times New Roman" w:hAnsi="Times New Roman" w:eastAsia="宋体" w:cs="Times New Roman"/>
          <w:sz w:val="24"/>
          <w:szCs w:val="24"/>
          <w:lang w:val="en-US" w:eastAsia="zh-CN" w:bidi="ar"/>
        </w:rPr>
        <w:t>7-1</w:t>
      </w:r>
      <w:r>
        <w:rPr>
          <w:rStyle w:val="17"/>
          <w:rFonts w:hint="default" w:ascii="Times New Roman" w:hAnsi="Times New Roman" w:eastAsia="宋体" w:cs="Times New Roman"/>
          <w:sz w:val="24"/>
          <w:szCs w:val="24"/>
          <w:lang w:eastAsia="zh-CN" w:bidi="ar"/>
        </w:rPr>
        <w:t xml:space="preserve">  </w:t>
      </w:r>
      <w:r>
        <w:rPr>
          <w:rStyle w:val="18"/>
          <w:rFonts w:hint="default" w:ascii="Times New Roman" w:hAnsi="Times New Roman" w:eastAsia="宋体" w:cs="Times New Roman"/>
          <w:sz w:val="24"/>
          <w:szCs w:val="24"/>
          <w:lang w:val="en-US" w:eastAsia="zh-CN" w:bidi="ar"/>
        </w:rPr>
        <w:t>按地区分组的法人单位数和产业活动单位数</w:t>
      </w:r>
    </w:p>
    <w:tbl>
      <w:tblPr>
        <w:tblStyle w:val="11"/>
        <w:tblW w:w="5001"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1774"/>
        <w:gridCol w:w="1750"/>
        <w:gridCol w:w="1612"/>
        <w:gridCol w:w="1656"/>
        <w:gridCol w:w="170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1043" w:type="pct"/>
            <w:vMerge w:val="restar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1977" w:type="pct"/>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法人单位</w:t>
            </w:r>
          </w:p>
        </w:tc>
        <w:tc>
          <w:tcPr>
            <w:tcW w:w="1978" w:type="pct"/>
            <w:gridSpan w:val="2"/>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产业活动单位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1043" w:type="pct"/>
            <w:vMerge w:val="continue"/>
            <w:tcBorders>
              <w:top w:val="single" w:color="000000"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280" w:lineRule="exact"/>
              <w:ind w:left="0" w:leftChars="0" w:right="0" w:firstLine="0" w:firstLineChars="0"/>
              <w:textAlignment w:val="auto"/>
              <w:rPr>
                <w:rFonts w:hint="default" w:ascii="Times New Roman" w:hAnsi="Times New Roman" w:eastAsia="宋体" w:cs="Times New Roman"/>
                <w:color w:val="0C0C0C"/>
                <w:sz w:val="21"/>
                <w:szCs w:val="21"/>
                <w:highlight w:val="none"/>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数量（万个）</w:t>
            </w:r>
          </w:p>
        </w:tc>
        <w:tc>
          <w:tcPr>
            <w:tcW w:w="9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比重（%）</w:t>
            </w:r>
          </w:p>
        </w:tc>
        <w:tc>
          <w:tcPr>
            <w:tcW w:w="9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数量（万个）</w:t>
            </w:r>
          </w:p>
        </w:tc>
        <w:tc>
          <w:tcPr>
            <w:tcW w:w="1004" w:type="pct"/>
            <w:tcBorders>
              <w:top w:val="single" w:color="auto" w:sz="4"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2" w:hRule="atLeast"/>
          <w:jc w:val="center"/>
        </w:trPr>
        <w:tc>
          <w:tcPr>
            <w:tcW w:w="1043"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71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 xml:space="preserve">104.19 </w:t>
            </w:r>
          </w:p>
        </w:tc>
        <w:tc>
          <w:tcPr>
            <w:tcW w:w="94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100.0</w:t>
            </w:r>
          </w:p>
        </w:tc>
        <w:tc>
          <w:tcPr>
            <w:tcW w:w="161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 xml:space="preserve">109.87 </w:t>
            </w:r>
          </w:p>
        </w:tc>
        <w:tc>
          <w:tcPr>
            <w:tcW w:w="1004"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荔湾区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3.82 </w:t>
            </w:r>
          </w:p>
        </w:tc>
        <w:tc>
          <w:tcPr>
            <w:tcW w:w="94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3.7</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4.13 </w:t>
            </w:r>
          </w:p>
        </w:tc>
        <w:tc>
          <w:tcPr>
            <w:tcW w:w="1004"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越秀区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7.97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7.7</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8.62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海珠区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7.04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6.8</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7.63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天河区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26.99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25.9</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28.49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白云区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16.78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16.1</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17.40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黄埔区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7.22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6.9</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7.56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番禺区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14.31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13.7</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15.03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花都区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6.11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5.9</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6.44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南沙区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5.65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5.4</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5.84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从化区</w:t>
            </w:r>
          </w:p>
        </w:tc>
        <w:tc>
          <w:tcPr>
            <w:tcW w:w="171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1.76 </w:t>
            </w:r>
          </w:p>
        </w:tc>
        <w:tc>
          <w:tcPr>
            <w:tcW w:w="157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w:t>
            </w:r>
          </w:p>
        </w:tc>
        <w:tc>
          <w:tcPr>
            <w:tcW w:w="161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1.88 </w:t>
            </w:r>
          </w:p>
        </w:tc>
        <w:tc>
          <w:tcPr>
            <w:tcW w:w="1669"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043"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增城区</w:t>
            </w:r>
          </w:p>
        </w:tc>
        <w:tc>
          <w:tcPr>
            <w:tcW w:w="171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6.53 </w:t>
            </w:r>
          </w:p>
        </w:tc>
        <w:tc>
          <w:tcPr>
            <w:tcW w:w="157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6.3</w:t>
            </w:r>
          </w:p>
        </w:tc>
        <w:tc>
          <w:tcPr>
            <w:tcW w:w="161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 xml:space="preserve">6.85 </w:t>
            </w:r>
          </w:p>
        </w:tc>
        <w:tc>
          <w:tcPr>
            <w:tcW w:w="1669"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lang w:val="en-US" w:eastAsia="zh-CN"/>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2023年末，全市第二产业和第三产业法人单位从业人员1063.05万人，位居前三位的区是：天河区230.83万人，占21.7%；白云区144.69万人，占13.6%；黄埔区127.57万人，占12.0%（详见表7-2）。</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firstLine="0" w:firstLineChars="0"/>
        <w:jc w:val="center"/>
        <w:rPr>
          <w:rFonts w:hint="default" w:ascii="Times New Roman" w:hAnsi="Times New Roman" w:cs="Times New Roman"/>
        </w:rPr>
      </w:pPr>
      <w:r>
        <w:rPr>
          <w:rFonts w:hint="default" w:ascii="Times New Roman" w:hAnsi="Times New Roman" w:eastAsia="宋体" w:cs="Times New Roman"/>
          <w:b/>
          <w:bCs/>
          <w:i w:val="0"/>
          <w:iCs w:val="0"/>
          <w:color w:val="0C0C0C"/>
          <w:kern w:val="0"/>
          <w:sz w:val="24"/>
          <w:szCs w:val="24"/>
          <w:u w:val="none"/>
          <w:lang w:val="en-US" w:eastAsia="zh-CN" w:bidi="ar"/>
        </w:rPr>
        <w:t>表</w:t>
      </w:r>
      <w:r>
        <w:rPr>
          <w:rFonts w:hint="default" w:ascii="Times New Roman" w:hAnsi="Times New Roman" w:eastAsia="宋体" w:cs="Times New Roman"/>
          <w:b/>
          <w:bCs/>
          <w:i w:val="0"/>
          <w:iCs w:val="0"/>
          <w:color w:val="000000"/>
          <w:kern w:val="0"/>
          <w:sz w:val="24"/>
          <w:szCs w:val="24"/>
          <w:u w:val="none"/>
          <w:lang w:val="en-US" w:eastAsia="zh-CN" w:bidi="ar"/>
        </w:rPr>
        <w:t xml:space="preserve">7-2  </w:t>
      </w:r>
      <w:r>
        <w:rPr>
          <w:rFonts w:hint="default" w:ascii="Times New Roman" w:hAnsi="Times New Roman" w:eastAsia="宋体" w:cs="Times New Roman"/>
          <w:b/>
          <w:bCs/>
          <w:i w:val="0"/>
          <w:iCs w:val="0"/>
          <w:color w:val="0C0C0C"/>
          <w:kern w:val="0"/>
          <w:sz w:val="24"/>
          <w:szCs w:val="24"/>
          <w:u w:val="none"/>
          <w:lang w:val="en-US" w:eastAsia="zh-CN" w:bidi="ar"/>
        </w:rPr>
        <w:t>按地区分组的法人单位从业人员</w:t>
      </w:r>
    </w:p>
    <w:tbl>
      <w:tblPr>
        <w:tblStyle w:val="11"/>
        <w:tblW w:w="4753"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45"/>
        <w:gridCol w:w="2494"/>
        <w:gridCol w:w="26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22" w:type="pct"/>
            <w:tcBorders>
              <w:top w:val="single" w:color="auto" w:sz="12" w:space="0"/>
              <w:left w:val="nil"/>
              <w:bottom w:val="single" w:color="000000" w:sz="8"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1543" w:type="pct"/>
            <w:tcBorders>
              <w:top w:val="single" w:color="auto" w:sz="12" w:space="0"/>
              <w:left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bidi="ar"/>
              </w:rPr>
            </w:pPr>
            <w:r>
              <w:rPr>
                <w:rFonts w:hint="default" w:ascii="Times New Roman" w:hAnsi="Times New Roman" w:eastAsia="宋体" w:cs="Times New Roman"/>
                <w:b/>
                <w:bCs/>
                <w:color w:val="0C0C0C"/>
                <w:kern w:val="0"/>
                <w:sz w:val="21"/>
                <w:szCs w:val="21"/>
                <w:highlight w:val="none"/>
                <w:lang w:bidi="ar"/>
              </w:rPr>
              <w:t>法人单位从业人员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bidi="ar"/>
              </w:rPr>
              <w:t>（万人）</w:t>
            </w:r>
          </w:p>
        </w:tc>
        <w:tc>
          <w:tcPr>
            <w:tcW w:w="163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bidi="ar"/>
              </w:rPr>
            </w:pPr>
            <w:r>
              <w:rPr>
                <w:rFonts w:hint="default" w:ascii="Times New Roman" w:hAnsi="Times New Roman" w:eastAsia="宋体" w:cs="Times New Roman"/>
                <w:b/>
                <w:bCs/>
                <w:color w:val="0C0C0C"/>
                <w:kern w:val="0"/>
                <w:sz w:val="21"/>
                <w:szCs w:val="21"/>
                <w:highlight w:val="none"/>
                <w:lang w:bidi="ar"/>
              </w:rPr>
              <w:t>比重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bidi="ar"/>
              </w:rPr>
            </w:pPr>
            <w:r>
              <w:rPr>
                <w:rFonts w:hint="default" w:ascii="Times New Roman" w:hAnsi="Times New Roman" w:eastAsia="宋体" w:cs="Times New Roman"/>
                <w:b/>
                <w:bCs/>
                <w:color w:val="0C0C0C"/>
                <w:kern w:val="0"/>
                <w:sz w:val="21"/>
                <w:szCs w:val="21"/>
                <w:highlight w:val="none"/>
                <w:lang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54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1063.05</w:t>
            </w:r>
          </w:p>
        </w:tc>
        <w:tc>
          <w:tcPr>
            <w:tcW w:w="1633"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center"/>
              <w:rPr>
                <w:rFonts w:hint="default" w:ascii="Times New Roman" w:hAnsi="Times New Roman" w:eastAsia="宋体" w:cs="Times New Roman"/>
                <w:b/>
                <w:bCs/>
                <w:i w:val="0"/>
                <w:color w:val="0C0C0C"/>
                <w:kern w:val="2"/>
                <w:sz w:val="21"/>
                <w:szCs w:val="21"/>
                <w:highlight w:val="none"/>
                <w:u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荔湾区</w:t>
            </w:r>
          </w:p>
        </w:tc>
        <w:tc>
          <w:tcPr>
            <w:tcW w:w="154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37.75</w:t>
            </w:r>
          </w:p>
        </w:tc>
        <w:tc>
          <w:tcPr>
            <w:tcW w:w="1633"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center"/>
              <w:rPr>
                <w:rFonts w:hint="default" w:ascii="Times New Roman" w:hAnsi="Times New Roman" w:eastAsia="宋体" w:cs="Times New Roman"/>
                <w:i w:val="0"/>
                <w:color w:val="0C0C0C"/>
                <w:kern w:val="2"/>
                <w:sz w:val="21"/>
                <w:szCs w:val="21"/>
                <w:highlight w:val="none"/>
                <w:u w:val="none"/>
                <w:lang w:val="en-US" w:eastAsia="zh-CN" w:bidi="ar-SA"/>
              </w:rPr>
            </w:pPr>
            <w:r>
              <w:rPr>
                <w:rFonts w:hint="default" w:ascii="Times New Roman" w:hAnsi="Times New Roman" w:eastAsia="宋体" w:cs="Times New Roman"/>
                <w:i w:val="0"/>
                <w:color w:val="0C0C0C"/>
                <w:kern w:val="2"/>
                <w:sz w:val="21"/>
                <w:szCs w:val="21"/>
                <w:highlight w:val="none"/>
                <w:u w:val="none"/>
                <w:lang w:val="en-US" w:eastAsia="zh-CN" w:bidi="ar-SA"/>
              </w:rPr>
              <w:t>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越秀区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102.00</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9.6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海珠区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82.25</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天河区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230.83</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白云区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144.69</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黄埔区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127.57</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番禺区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123.02</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花都区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71.51</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南沙区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68.67</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bidi="ar"/>
              </w:rPr>
            </w:pPr>
            <w:r>
              <w:rPr>
                <w:rFonts w:hint="default" w:ascii="Times New Roman" w:hAnsi="Times New Roman" w:eastAsia="宋体" w:cs="Times New Roman"/>
                <w:b w:val="0"/>
                <w:bCs/>
                <w:color w:val="0C0C0C"/>
                <w:kern w:val="0"/>
                <w:sz w:val="21"/>
                <w:szCs w:val="21"/>
                <w:highlight w:val="none"/>
                <w:lang w:val="en-US" w:eastAsia="zh-CN" w:bidi="ar"/>
              </w:rPr>
              <w:t>从化区</w:t>
            </w:r>
          </w:p>
        </w:tc>
        <w:tc>
          <w:tcPr>
            <w:tcW w:w="243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20.43</w:t>
            </w:r>
          </w:p>
        </w:tc>
        <w:tc>
          <w:tcPr>
            <w:tcW w:w="258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增城区</w:t>
            </w:r>
          </w:p>
        </w:tc>
        <w:tc>
          <w:tcPr>
            <w:tcW w:w="243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54.33</w:t>
            </w:r>
          </w:p>
        </w:tc>
        <w:tc>
          <w:tcPr>
            <w:tcW w:w="258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center"/>
              <w:rPr>
                <w:rFonts w:hint="default" w:ascii="Times New Roman" w:hAnsi="Times New Roman" w:eastAsia="宋体" w:cs="Times New Roman"/>
                <w:bCs w:val="0"/>
                <w:i w:val="0"/>
                <w:color w:val="0C0C0C"/>
                <w:kern w:val="2"/>
                <w:sz w:val="21"/>
                <w:szCs w:val="21"/>
                <w:highlight w:val="none"/>
                <w:u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5.1</w:t>
            </w:r>
          </w:p>
        </w:tc>
      </w:tr>
    </w:tbl>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firstLine="562" w:firstLineChars="200"/>
        <w:textAlignment w:val="baseline"/>
        <w:rPr>
          <w:rFonts w:hint="eastAsia" w:ascii="仿宋_GB2312" w:hAnsi="仿宋_GB2312" w:eastAsia="仿宋_GB2312" w:cs="仿宋_GB2312"/>
          <w:b/>
          <w:bCs/>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560" w:firstLineChars="200"/>
        <w:jc w:val="both"/>
        <w:textAlignment w:val="center"/>
        <w:rPr>
          <w:rFonts w:hint="eastAsia" w:ascii="Times New Roman" w:hAnsi="Times New Roman" w:eastAsia="方正黑体_GBK" w:cs="Times New Roman"/>
          <w:b w:val="0"/>
          <w:bCs/>
          <w:i w:val="0"/>
          <w:caps w:val="0"/>
          <w:color w:val="0C0C0C"/>
          <w:spacing w:val="0"/>
          <w:kern w:val="0"/>
          <w:sz w:val="28"/>
          <w:szCs w:val="28"/>
          <w:highlight w:val="none"/>
          <w:lang w:val="en-US" w:eastAsia="zh-CN" w:bidi="ar"/>
        </w:rPr>
      </w:pPr>
      <w:r>
        <w:rPr>
          <w:rFonts w:hint="eastAsia"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40" w:lineRule="exact"/>
        <w:ind w:left="0" w:leftChars="0" w:right="0" w:firstLine="560" w:firstLineChars="20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40" w:lineRule="exact"/>
        <w:ind w:left="0" w:leftChars="0" w:right="0" w:firstLine="560" w:firstLineChars="20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]表中的合计数和部分计算数据因小数取舍而产生的误差，均未作机械调整。</w:t>
      </w: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pStyle w:val="14"/>
        <w:keepNext w:val="0"/>
        <w:keepLines w:val="0"/>
        <w:pageBreakBefore w:val="0"/>
        <w:kinsoku/>
        <w:wordWrap/>
        <w:topLinePunct w:val="0"/>
        <w:autoSpaceDN/>
        <w:bidi w:val="0"/>
        <w:adjustRightInd w:val="0"/>
        <w:snapToGrid w:val="0"/>
        <w:spacing w:beforeAutospacing="0" w:afterAutospacing="0" w:line="600" w:lineRule="exact"/>
        <w:ind w:left="0" w:leftChars="0" w:right="0" w:firstLine="0" w:firstLineChars="0"/>
        <w:rPr>
          <w:rFonts w:hint="default" w:ascii="Times New Roman" w:hAnsi="Times New Roman" w:cs="Times New Roman"/>
        </w:rPr>
      </w:pPr>
    </w:p>
    <w:p>
      <w:pPr>
        <w:keepNext w:val="0"/>
        <w:keepLines w:val="0"/>
        <w:pageBreakBefore w:val="0"/>
        <w:kinsoku/>
        <w:wordWrap/>
        <w:topLinePunct w:val="0"/>
        <w:bidi w:val="0"/>
        <w:adjustRightInd w:val="0"/>
        <w:snapToGrid w:val="0"/>
        <w:spacing w:beforeAutospacing="0" w:afterAutospacing="0"/>
        <w:ind w:left="0" w:leftChars="0" w:right="0"/>
        <w:rPr>
          <w:rFonts w:hint="default" w:ascii="Times New Roman" w:hAnsi="Times New Roman" w:cs="Times New Roman"/>
        </w:rPr>
      </w:pPr>
    </w:p>
    <w:sectPr>
      <w:footerReference r:id="rId3"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ALWMNMAAAAEAQAADwAA&#10;AAAAAAABACAAAAA4AAAAZHJzL2Rvd25yZXYueG1sUEsBAhQAFAAAAAgAh07iQCFlKuE+AgAAbwQA&#10;AA4AAAAAAAAAAQAgAAAAOAEAAGRycy9lMm9Eb2M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FCCFB1"/>
    <w:rsid w:val="3FFF3F58"/>
    <w:rsid w:val="4BB1F251"/>
    <w:rsid w:val="57DFA200"/>
    <w:rsid w:val="5F7796A6"/>
    <w:rsid w:val="63EE556B"/>
    <w:rsid w:val="67D1E9D2"/>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9FFAC07"/>
    <w:rsid w:val="DF6F7293"/>
    <w:rsid w:val="DFAF3606"/>
    <w:rsid w:val="DFDF7625"/>
    <w:rsid w:val="DFEFF9F4"/>
    <w:rsid w:val="EAFBF2D4"/>
    <w:rsid w:val="EFB7D67D"/>
    <w:rsid w:val="EFB90BA6"/>
    <w:rsid w:val="F45DBA3C"/>
    <w:rsid w:val="FAB339FF"/>
    <w:rsid w:val="FAF7E741"/>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159</TotalTime>
  <ScaleCrop>false</ScaleCrop>
  <LinksUpToDate>false</LinksUpToDate>
  <CharactersWithSpaces>28820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2025-05-25T17:52:00Z</dcterms:created>
  <dc:creator>huawei</dc:creator>
  <cp:lastModifiedBy>潘紫荆</cp:lastModifiedBy>
  <cp:lastPrinted>2025-05-24T08:11:00Z</cp:lastPrinted>
  <dcterms:modified xsi:type="dcterms:W3CDTF">2025-05-29T15:38:33Z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EB0CAF23EAEAB7CFA028306897D501B8</vt:lpwstr>
  </property>
</Properties>
</file>