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rPr>
          <w:rFonts w:hint="eastAsia" w:ascii="黑体" w:hAnsi="黑体" w:eastAsia="黑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  <w:t>广汽部件汽车零部件产业园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552" w:firstLineChars="200"/>
        <w:textAlignment w:val="auto"/>
        <w:rPr>
          <w:rFonts w:hint="eastAsia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-10" w:leftChars="0" w:firstLine="64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广汽部件汽车零部件产业园（以下简称园区）位于仙村镇基岗村，广惠高速以南，荔新公路以北，用地面积251亩，总建筑面积约33.5万平方米，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容积率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不低于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2.0，建设厂房、办公楼、仓储及配套设施等，</w:t>
      </w:r>
      <w:r>
        <w:rPr>
          <w:rFonts w:hint="eastAsia" w:ascii="仿宋_GB2312" w:hAnsi="Calibri" w:eastAsia="仿宋_GB2312" w:cs="仿宋_GB2312"/>
          <w:color w:val="auto"/>
          <w:sz w:val="32"/>
          <w:szCs w:val="32"/>
          <w:lang w:val="en-US" w:eastAsia="zh-CN"/>
        </w:rPr>
        <w:t>预计</w:t>
      </w:r>
      <w:r>
        <w:rPr>
          <w:rFonts w:hint="eastAsia" w:ascii="仿宋_GB2312" w:hAnsi="Calibri" w:eastAsia="仿宋_GB2312" w:cs="仿宋_GB2312"/>
          <w:color w:val="auto"/>
          <w:sz w:val="32"/>
          <w:szCs w:val="32"/>
          <w:highlight w:val="none"/>
          <w:lang w:val="en-US" w:eastAsia="zh-CN"/>
        </w:rPr>
        <w:t>达产后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Calibri" w:eastAsia="仿宋_GB2312" w:cs="仿宋_GB2312"/>
          <w:color w:val="auto"/>
          <w:sz w:val="32"/>
          <w:szCs w:val="32"/>
          <w:highlight w:val="none"/>
          <w:lang w:val="en-US" w:eastAsia="zh-CN"/>
        </w:rPr>
        <w:t>年产值不少于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Calibri" w:eastAsia="仿宋_GB2312" w:cs="仿宋_GB2312"/>
          <w:color w:val="auto"/>
          <w:sz w:val="32"/>
          <w:szCs w:val="32"/>
          <w:highlight w:val="none"/>
          <w:lang w:val="en-US" w:eastAsia="zh-CN"/>
        </w:rPr>
        <w:t>亿元，年税收不少于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  <w:t>2.47亿</w:t>
      </w:r>
      <w:r>
        <w:rPr>
          <w:rFonts w:hint="eastAsia" w:ascii="仿宋_GB2312" w:hAnsi="Calibri" w:eastAsia="仿宋_GB2312" w:cs="仿宋_GB2312"/>
          <w:color w:val="auto"/>
          <w:sz w:val="32"/>
          <w:szCs w:val="32"/>
          <w:highlight w:val="none"/>
          <w:lang w:val="en-US" w:eastAsia="zh-CN"/>
        </w:rPr>
        <w:t>元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。园区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由广汽零部件有限公司（以下简称广汽部件）投资建设，总投资</w:t>
      </w:r>
      <w:r>
        <w:rPr>
          <w:rFonts w:hint="eastAsia" w:ascii="仿宋_GB2312" w:hAnsi="Calibri" w:eastAsia="仿宋_GB2312" w:cs="仿宋_GB2312"/>
          <w:color w:val="auto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_GB2312" w:hAnsi="Calibri" w:eastAsia="仿宋_GB2312" w:cs="仿宋_GB2312"/>
          <w:color w:val="auto"/>
          <w:sz w:val="32"/>
          <w:szCs w:val="32"/>
          <w:highlight w:val="none"/>
        </w:rPr>
        <w:t>亿元，其中固定资产投资</w:t>
      </w:r>
      <w:r>
        <w:rPr>
          <w:rFonts w:hint="eastAsia" w:ascii="仿宋_GB2312" w:hAnsi="Calibri" w:eastAsia="仿宋_GB2312" w:cs="仿宋_GB2312"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Calibri" w:eastAsia="仿宋_GB2312" w:cs="仿宋_GB2312"/>
          <w:color w:val="auto"/>
          <w:sz w:val="32"/>
          <w:szCs w:val="32"/>
          <w:highlight w:val="none"/>
        </w:rPr>
        <w:t>亿元</w:t>
      </w:r>
      <w:r>
        <w:rPr>
          <w:rFonts w:hint="eastAsia" w:ascii="仿宋_GB2312" w:hAnsi="黑体" w:eastAsia="仿宋_GB2312" w:cs="仿宋_GB2312"/>
          <w:color w:val="auto"/>
          <w:kern w:val="10"/>
          <w:sz w:val="32"/>
          <w:szCs w:val="32"/>
          <w:highlight w:val="none"/>
          <w:lang w:val="en-US" w:eastAsia="zh-CN"/>
        </w:rPr>
        <w:t>。</w:t>
      </w:r>
    </w:p>
    <w:p>
      <w:pPr>
        <w:pStyle w:val="15"/>
        <w:numPr>
          <w:ilvl w:val="0"/>
          <w:numId w:val="0"/>
        </w:numPr>
        <w:bidi w:val="0"/>
        <w:ind w:firstLine="632" w:firstLineChars="200"/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增城园区是广汽部件投资建设的第三个零部件产业园，另外两个分别是梅州园区、番禺园区。增城园区拟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利用广汽集团及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广汽部件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资源，引入一批优质的智能网联和新能源汽车零部件产业项目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发展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壮大增城区汽车零部件产业集群，助力广州市打造“智车之城”</w:t>
      </w:r>
    </w:p>
    <w:p>
      <w:pPr>
        <w:pStyle w:val="15"/>
        <w:numPr>
          <w:ilvl w:val="0"/>
          <w:numId w:val="0"/>
        </w:numPr>
        <w:bidi w:val="0"/>
        <w:ind w:firstLine="632" w:firstLineChars="200"/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15"/>
        <w:numPr>
          <w:ilvl w:val="0"/>
          <w:numId w:val="0"/>
        </w:numPr>
        <w:bidi w:val="0"/>
        <w:ind w:firstLine="632" w:firstLineChars="200"/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</w:pPr>
    </w:p>
    <w:p>
      <w:pPr>
        <w:spacing w:line="570" w:lineRule="exact"/>
        <w:jc w:val="center"/>
        <w:rPr>
          <w:rFonts w:ascii="方正小标宋简体" w:hAnsi="长城小标宋体" w:eastAsia="方正小标宋简体" w:cs="长城小标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长城小标宋体" w:eastAsia="方正小标宋简体" w:cs="长城小标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万洋智能网联汽车产业基地项目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简介</w:t>
      </w:r>
    </w:p>
    <w:p>
      <w:pPr>
        <w:pStyle w:val="2"/>
        <w:spacing w:line="570" w:lineRule="exact"/>
        <w:ind w:left="0" w:left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</w:t>
      </w:r>
    </w:p>
    <w:p>
      <w:pPr>
        <w:spacing w:line="570" w:lineRule="exact"/>
        <w:ind w:firstLine="640"/>
        <w:rPr>
          <w:rFonts w:ascii="黑体" w:hAnsi="黑体" w:eastAsia="黑体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  <w:t>一、项目背景</w:t>
      </w:r>
    </w:p>
    <w:p>
      <w:pPr>
        <w:spacing w:line="570" w:lineRule="exact"/>
        <w:ind w:firstLine="412" w:firstLineChars="200"/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近年来，省、市先后出台《广东省村镇工业集聚区升级改造攻坚战三年行动方案（2021-2023年）》（粤自然资发〔2021〕7号）、《关于深化推进村镇工业集聚区整治提升工作的通知》（穗工信函〔2022〕58号）等多份文件，对加快推进村镇工业集聚区更新改造工作做出专项部署，我区高度重视并积极贯彻落实省、市领导指示，前期已申报增城区上境村村镇工业集聚区更新改造项目（下称“上境村项目”）并初定为全市首期6个村镇工业集聚区试点项目之一，亟需引进投资实力强、开发运营经验丰富的投资方共同推动试点项目落地实施。</w:t>
      </w:r>
    </w:p>
    <w:p>
      <w:pPr>
        <w:spacing w:line="570" w:lineRule="exact"/>
        <w:ind w:firstLine="641"/>
        <w:rPr>
          <w:rFonts w:ascii="楷体_GB2312" w:eastAsia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（一）贯彻落实省、市关于加快推进村镇工业集聚区更新改造工作的部署。</w:t>
      </w:r>
    </w:p>
    <w:p>
      <w:pPr>
        <w:spacing w:line="570" w:lineRule="exact"/>
        <w:ind w:firstLine="641"/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为全面贯彻落实省、市关于加快推进村镇工业集聚区更新改造工作的部署，提升土地利用效益，释放更多产业空间，促进工业经济平稳增长；我区正积极探索村镇工业集聚区更新改造路径模式，持续推动存量低效用地盘活再开发，解决产业招引过程中的土地紧张问题，保障产业项目快速落地实施。</w:t>
      </w:r>
    </w:p>
    <w:p>
      <w:pPr>
        <w:spacing w:line="570" w:lineRule="exact"/>
        <w:ind w:firstLine="641"/>
        <w:rPr>
          <w:rFonts w:ascii="楷体_GB2312" w:eastAsia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（二）上境村项目具备改造条件，更新改造迫在眉睫。</w:t>
      </w:r>
    </w:p>
    <w:p>
      <w:pPr>
        <w:spacing w:line="570" w:lineRule="exact"/>
        <w:ind w:firstLine="412" w:firstLineChars="200"/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上境村项目现状以旧水泥厂、旧厂房为主，环境脏乱差，用地集约化程度不高，现有企业产能低下，给村镇及区域带来的经济效益偏低。经前期摸查研究，上境村项目地块权属较清晰、现有建筑物较少，土地征拆、收储、报批、实施方案编制及我区村改政策制定等各项工作正在有力有序推进，具备改造条件。我区亟需对该项目更新改造，腾挪空间，促进产业转型升级，改善城市形象，带动就业，实现市场主体、集体经济、区域发展多方共赢。</w:t>
      </w:r>
    </w:p>
    <w:p>
      <w:pPr>
        <w:spacing w:line="570" w:lineRule="exact"/>
        <w:ind w:firstLine="641"/>
        <w:rPr>
          <w:rFonts w:ascii="楷体_GB2312" w:eastAsia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（三）保障汽车产业链供应链安全稳定至关重要。</w:t>
      </w:r>
    </w:p>
    <w:p>
      <w:pPr>
        <w:spacing w:line="570" w:lineRule="exact"/>
        <w:ind w:firstLine="412" w:firstLineChars="200"/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受疫情等多重因素叠加影响，企业供应链从效率转向安全。汽车产业是我区重点发展的三大“千亿级</w:t>
      </w:r>
      <w:r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主导产业之一，且我区是广州市五大国际汽车零部件产业基地之一，需重点关注并确保汽车产业链供应链安全稳定。本项目以智能网联汽车零部件、汽车电子及相关配套产业为主导产业，打造智能网联汽车产业基地，有利于保障我区汽车产业链供应链稳定发展，促进汽车产业强链补链延链，助力我区做大做强国际汽车零部件产业基地。</w:t>
      </w:r>
    </w:p>
    <w:p>
      <w:pPr>
        <w:spacing w:line="570" w:lineRule="exact"/>
        <w:ind w:firstLine="412" w:firstLineChars="200"/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经前期充分接洽，万洋集团与我区就万洋智能网联汽车产业基地项目已基本达成共识，拟于近期启动上境村更新改造工作。</w:t>
      </w:r>
    </w:p>
    <w:p>
      <w:pPr>
        <w:spacing w:line="570" w:lineRule="exact"/>
        <w:ind w:firstLine="640"/>
        <w:rPr>
          <w:rFonts w:ascii="黑体" w:hAnsi="黑体" w:eastAsia="黑体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  <w:t>二、投资方概况</w:t>
      </w:r>
    </w:p>
    <w:p>
      <w:pPr>
        <w:spacing w:line="570" w:lineRule="exact"/>
        <w:ind w:firstLine="412" w:firstLineChars="200"/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（一）投资方介绍</w:t>
      </w:r>
    </w:p>
    <w:p>
      <w:pPr>
        <w:pStyle w:val="5"/>
        <w:spacing w:line="570" w:lineRule="exact"/>
        <w:ind w:left="0" w:firstLine="632" w:firstLineChars="200"/>
        <w:textAlignment w:val="center"/>
        <w:rPr>
          <w:rFonts w:hint="default" w:ascii="仿宋_GB2312" w:hAnsi="仿宋" w:eastAsia="仿宋_GB2312" w:cs="仿宋_GB2312"/>
          <w:szCs w:val="32"/>
        </w:rPr>
      </w:pPr>
      <w:r>
        <w:rPr>
          <w:rFonts w:ascii="仿宋_GB2312" w:hAnsi="仿宋" w:eastAsia="仿宋_GB2312" w:cs="仿宋_GB2312"/>
          <w:szCs w:val="32"/>
        </w:rPr>
        <w:t>万洋集团创立于1998年，是产业园区细分市场中的中国民营企业500强，作为制造业集聚平台运营商和中小企业集群服务商，拥有园区全产业链体系，下设万洋众创城、万洋建设、万洋智慧运营、万洋金融四大业务板块。本项目拟由万洋众创城负责投资开发，同时引入万洋建设、万洋智慧运营、万洋金融全流程参与本项目的建设、招商运营、服务管理等。</w:t>
      </w:r>
    </w:p>
    <w:p>
      <w:pPr>
        <w:pStyle w:val="5"/>
        <w:spacing w:line="570" w:lineRule="exact"/>
        <w:ind w:left="0" w:firstLine="632" w:firstLineChars="200"/>
        <w:textAlignment w:val="center"/>
        <w:rPr>
          <w:rFonts w:hint="default" w:ascii="仿宋_GB2312" w:hAnsi="仿宋" w:eastAsia="仿宋_GB2312" w:cs="仿宋_GB2312"/>
          <w:szCs w:val="32"/>
        </w:rPr>
      </w:pPr>
      <w:r>
        <w:rPr>
          <w:rFonts w:ascii="仿宋_GB2312" w:hAnsi="仿宋" w:eastAsia="仿宋_GB2312" w:cs="仿宋_GB2312"/>
          <w:szCs w:val="32"/>
        </w:rPr>
        <w:t>投资方已在长三角、珠三角及国内其他区域重点城市投资开发了105个制造业集聚平台（产业园），园区面积超7000万平方米，入园企业1.5万余家。目前在大湾区范围内有超30个项目，布局广州、佛山、江门、惠州、清远等城市。代表园区有温州万洋科技众创城、上海奉贤万洋科技众创城、广州白云万洋科技众创城、佛山顺德万洋众创城等。</w:t>
      </w:r>
    </w:p>
    <w:p>
      <w:pPr>
        <w:spacing w:line="570" w:lineRule="exact"/>
        <w:ind w:firstLine="412" w:firstLineChars="200"/>
        <w:rPr>
          <w:rFonts w:ascii="楷体_GB2312" w:hAnsi="楷体_GB2312" w:eastAsia="楷体_GB2312" w:cs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（二）投资方优势</w:t>
      </w:r>
    </w:p>
    <w:p>
      <w:pPr>
        <w:spacing w:line="570" w:lineRule="exact"/>
        <w:ind w:firstLine="641"/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1.投资实力雄厚。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截至2021年12月，投资方净资产逾156.44亿元，净现金流15.22亿元，已投资开发了105个产业园，园区面积超7000万平方米。</w:t>
      </w:r>
    </w:p>
    <w:p>
      <w:pPr>
        <w:spacing w:line="570" w:lineRule="exact"/>
        <w:ind w:firstLine="412" w:firstLineChars="200"/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2.项目经验丰富。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投资方在佛山顺德开发了首个“集转国+挂账收储公开出让”模式的村级工业园升级改造示范项目、在江门蓬江开发了江门市首个村级工业园升级改造示范项目，项目经验丰富，尤其擅长投资开发面积较大的产业园区。</w:t>
      </w:r>
    </w:p>
    <w:p>
      <w:pPr>
        <w:pStyle w:val="2"/>
        <w:spacing w:line="570" w:lineRule="exact"/>
        <w:ind w:left="0" w:leftChars="0" w:firstLine="641"/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3.招商能力突出。产业链招商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：通过产业链精准招商，先招商再建设。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联动招商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：自有招商团队1500余人，分布在全国各个区域，其中珠三角招商团队超600人，项目、团队之间形成招商联动。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以商招商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：现有入园企业1.5万余家，凭借业内良好口碑，实现大数据招商、以商招商。</w:t>
      </w:r>
    </w:p>
    <w:p>
      <w:pPr>
        <w:spacing w:line="570" w:lineRule="exact"/>
        <w:ind w:firstLine="412" w:firstLineChars="200"/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4.资源整合高效。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万洋集团与华为、海康威视等深度合作，打造智慧园区；引入大型专业金融机构，利用集团信用为中小企业提供过渡性担保；并整合金融、环保、能源、仓储物流、公共研发平台等生产性、生活性服务资源，有效降低企业运营成本。</w:t>
      </w:r>
    </w:p>
    <w:p>
      <w:pPr>
        <w:spacing w:line="570" w:lineRule="exact"/>
        <w:ind w:firstLine="412" w:firstLineChars="200"/>
        <w:rPr>
          <w:rFonts w:ascii="楷体_GB2312" w:hAnsi="楷体_GB2312" w:eastAsia="楷体_GB2312" w:cs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（三）资金实力</w:t>
      </w:r>
    </w:p>
    <w:p>
      <w:pPr>
        <w:adjustRightInd w:val="0"/>
        <w:snapToGrid w:val="0"/>
        <w:spacing w:line="570" w:lineRule="exact"/>
        <w:ind w:firstLine="641"/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bookmarkStart w:id="0" w:name="_Hlk106097549"/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截至2</w:t>
      </w:r>
      <w:r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021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年1</w:t>
      </w:r>
      <w:r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月，投资方净资产逾156.44亿元，净现金流15.22亿元</w:t>
      </w:r>
      <w:bookmarkEnd w:id="0"/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，近三年经营情况如下：</w:t>
      </w:r>
    </w:p>
    <w:p>
      <w:pPr>
        <w:adjustRightInd w:val="0"/>
        <w:snapToGrid w:val="0"/>
        <w:spacing w:line="570" w:lineRule="exact"/>
        <w:ind w:firstLine="824" w:firstLineChars="400"/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表1 万洋众创城近三年经营情况表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单位：亿元</w:t>
      </w:r>
    </w:p>
    <w:tbl>
      <w:tblPr>
        <w:tblStyle w:val="12"/>
        <w:tblW w:w="84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767"/>
        <w:gridCol w:w="1997"/>
        <w:gridCol w:w="2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</w:tc>
        <w:tc>
          <w:tcPr>
            <w:tcW w:w="1767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营收</w:t>
            </w:r>
          </w:p>
        </w:tc>
        <w:tc>
          <w:tcPr>
            <w:tcW w:w="19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税收</w:t>
            </w:r>
          </w:p>
        </w:tc>
        <w:tc>
          <w:tcPr>
            <w:tcW w:w="2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毛利润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2019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17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111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9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3.13</w:t>
            </w:r>
          </w:p>
        </w:tc>
        <w:tc>
          <w:tcPr>
            <w:tcW w:w="2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22.03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(19.78%)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2020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17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227.99</w:t>
            </w:r>
          </w:p>
        </w:tc>
        <w:tc>
          <w:tcPr>
            <w:tcW w:w="19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5.00</w:t>
            </w:r>
          </w:p>
        </w:tc>
        <w:tc>
          <w:tcPr>
            <w:tcW w:w="2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35.19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(15.43%)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2021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17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285.58</w:t>
            </w:r>
          </w:p>
        </w:tc>
        <w:tc>
          <w:tcPr>
            <w:tcW w:w="19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11.98</w:t>
            </w:r>
          </w:p>
        </w:tc>
        <w:tc>
          <w:tcPr>
            <w:tcW w:w="2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41.44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(14.51%)</w:t>
            </w:r>
          </w:p>
        </w:tc>
      </w:tr>
    </w:tbl>
    <w:p>
      <w:pPr>
        <w:adjustRightInd w:val="0"/>
        <w:snapToGrid w:val="0"/>
        <w:spacing w:line="570" w:lineRule="exact"/>
        <w:ind w:firstLine="276" w:firstLineChars="100"/>
        <w:rPr>
          <w:rFonts w:ascii="楷体_GB2312" w:hAnsi="楷体_GB2312" w:eastAsia="楷体_GB2312" w:cs="楷体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备注：该公司年均营收增长率超过60%，年均毛利率为15.36%。</w:t>
      </w:r>
    </w:p>
    <w:p>
      <w:pPr>
        <w:spacing w:line="570" w:lineRule="exact"/>
        <w:ind w:firstLine="640"/>
        <w:rPr>
          <w:rFonts w:ascii="黑体" w:hAnsi="黑体" w:eastAsia="黑体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  <w:t>三、投资项目基本情况</w:t>
      </w:r>
    </w:p>
    <w:p>
      <w:pPr>
        <w:spacing w:line="570" w:lineRule="exact"/>
        <w:ind w:firstLine="641"/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（一）项目名称：</w:t>
      </w:r>
      <w:r>
        <w:rPr>
          <w:rFonts w:hint="eastAsia" w:ascii="仿宋_GB2312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万洋智能网联汽车产业基地项目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70" w:lineRule="exact"/>
        <w:ind w:firstLine="641"/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（二）项目投资主体：</w:t>
      </w:r>
      <w:r>
        <w:rPr>
          <w:rFonts w:hint="eastAsia" w:ascii="仿宋_GB2312" w:hAnsi="楷体_GB2312" w:eastAsia="仿宋_GB2312" w:cs="楷体_GB2312"/>
          <w:szCs w:val="32"/>
        </w:rPr>
        <w:t>由</w:t>
      </w:r>
      <w:r>
        <w:rPr>
          <w:rFonts w:hint="eastAsia" w:ascii="仿宋_GB2312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万洋众创城</w:t>
      </w:r>
      <w:r>
        <w:rPr>
          <w:rFonts w:hint="eastAsia" w:ascii="仿宋_GB2312" w:hAnsi="仿宋_GB2312" w:eastAsia="仿宋_GB2312" w:cs="仿宋_GB2312"/>
          <w:bCs/>
          <w:szCs w:val="32"/>
        </w:rPr>
        <w:t>在我区注册设立独立法人企业作为本项目拍地建设主体。</w:t>
      </w:r>
    </w:p>
    <w:p>
      <w:pPr>
        <w:spacing w:line="570" w:lineRule="exact"/>
        <w:ind w:firstLine="641"/>
        <w:rPr>
          <w:rFonts w:ascii="仿宋_GB2312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（三）项目性质和改造模式：</w:t>
      </w:r>
      <w:r>
        <w:rPr>
          <w:rFonts w:hint="eastAsia" w:ascii="仿宋_GB2312" w:hAnsi="楷体_GB2312" w:eastAsia="仿宋_GB2312" w:cs="楷体_GB2312"/>
          <w:szCs w:val="32"/>
        </w:rPr>
        <w:t>通过</w:t>
      </w:r>
      <w:r>
        <w:rPr>
          <w:rFonts w:hint="eastAsia" w:ascii="仿宋_GB2312" w:hAnsi="Times New Roman" w:eastAsia="仿宋_GB2312"/>
          <w:szCs w:val="32"/>
        </w:rPr>
        <w:t>政府直接征收、整体拆除重建方式实现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村镇工业集聚区</w:t>
      </w:r>
      <w:r>
        <w:rPr>
          <w:rFonts w:hint="eastAsia" w:ascii="仿宋_GB2312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更新改造</w:t>
      </w:r>
      <w:r>
        <w:rPr>
          <w:rFonts w:hint="eastAsia" w:ascii="仿宋_GB2312" w:hAnsi="Times New Roman" w:eastAsia="仿宋_GB2312"/>
          <w:szCs w:val="32"/>
        </w:rPr>
        <w:t>（具体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以规划</w:t>
      </w:r>
      <w:r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和自然资源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部门确定为准</w:t>
      </w:r>
      <w:r>
        <w:rPr>
          <w:rFonts w:hint="eastAsia" w:ascii="仿宋_GB2312" w:hAnsi="Times New Roman" w:eastAsia="仿宋_GB2312"/>
          <w:szCs w:val="32"/>
        </w:rPr>
        <w:t>）</w:t>
      </w:r>
      <w:r>
        <w:rPr>
          <w:rFonts w:hint="eastAsia" w:ascii="仿宋_GB2312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，导入</w:t>
      </w:r>
      <w:r>
        <w:rPr>
          <w:rFonts w:hint="eastAsia" w:ascii="仿宋_GB2312" w:hAnsi="宋体" w:eastAsia="仿宋_GB2312"/>
          <w:szCs w:val="32"/>
        </w:rPr>
        <w:t>智能网联汽车零部件</w:t>
      </w:r>
      <w:r>
        <w:rPr>
          <w:rFonts w:hint="eastAsia" w:ascii="仿宋_GB2312" w:hAnsi="宋体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、汽车电子</w:t>
      </w:r>
      <w:r>
        <w:rPr>
          <w:rFonts w:hint="eastAsia" w:ascii="仿宋_GB2312" w:hAnsi="宋体" w:eastAsia="仿宋_GB2312"/>
          <w:szCs w:val="32"/>
        </w:rPr>
        <w:t>及相关配套产业</w:t>
      </w:r>
      <w:r>
        <w:rPr>
          <w:rFonts w:hint="eastAsia" w:ascii="仿宋_GB2312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，促进产业转型升级。</w:t>
      </w:r>
    </w:p>
    <w:p>
      <w:pPr>
        <w:tabs>
          <w:tab w:val="left" w:pos="589"/>
        </w:tabs>
        <w:adjustRightInd w:val="0"/>
        <w:snapToGrid w:val="0"/>
        <w:spacing w:line="570" w:lineRule="exact"/>
        <w:ind w:firstLine="641"/>
        <w:rPr>
          <w:rFonts w:asci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（四）项目定位：</w:t>
      </w:r>
      <w:r>
        <w:rPr>
          <w:rFonts w:hint="eastAsia" w:ascii="仿宋_GB2312" w:hAnsi="宋体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以智能网联汽车零部件、汽车电子及相关配套产业为主导产业，</w:t>
      </w:r>
      <w:r>
        <w:rPr>
          <w:rFonts w:hint="eastAsia" w:asci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整合信息控制系统、车载感知硬件、汽车零部件及配套产业等细分领域资源。项目将建设成</w:t>
      </w:r>
      <w:r>
        <w:rPr>
          <w:rFonts w:asci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集研发创新、生产制造、金融服务、总部经济、生产生活配套和智慧园区管理为一体的</w:t>
      </w:r>
      <w:r>
        <w:rPr>
          <w:rFonts w:hint="eastAsia" w:asci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智能网联汽车</w:t>
      </w:r>
      <w:r>
        <w:rPr>
          <w:rFonts w:asci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产业园区。</w:t>
      </w:r>
    </w:p>
    <w:p>
      <w:pPr>
        <w:spacing w:line="570" w:lineRule="exact"/>
        <w:ind w:firstLine="640"/>
        <w:rPr>
          <w:rFonts w:ascii="仿宋_GB2312" w:hAnsi="宋体" w:eastAsia="仿宋_GB2312" w:cs="仿宋_GB2312"/>
          <w:color w:val="000000" w:themeColor="text1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（五）项目用地：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项目</w:t>
      </w:r>
      <w:r>
        <w:rPr>
          <w:rFonts w:ascii="仿宋_GB2312" w:hAnsi="宋体" w:eastAsia="仿宋_GB2312" w:cs="仿宋_GB2312"/>
          <w:color w:val="000000" w:themeColor="text1"/>
          <w:szCs w:val="32"/>
          <w:lang w:bidi="ar"/>
          <w14:textFill>
            <w14:solidFill>
              <w14:schemeClr w14:val="tx1"/>
            </w14:solidFill>
          </w14:textFill>
        </w:rPr>
        <w:t>拟申请</w:t>
      </w:r>
      <w:r>
        <w:rPr>
          <w:rFonts w:hint="eastAsia" w:ascii="仿宋_GB2312" w:hAnsi="宋体" w:eastAsia="仿宋_GB2312" w:cs="仿宋_GB2312"/>
          <w:color w:val="000000" w:themeColor="text1"/>
          <w:szCs w:val="32"/>
          <w:lang w:bidi="ar"/>
          <w14:textFill>
            <w14:solidFill>
              <w14:schemeClr w14:val="tx1"/>
            </w14:solidFill>
          </w14:textFill>
        </w:rPr>
        <w:t>增城区上境村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村镇工业集聚区</w:t>
      </w:r>
      <w:r>
        <w:rPr>
          <w:rFonts w:hint="eastAsia" w:ascii="仿宋_GB2312" w:hAnsi="宋体" w:eastAsia="仿宋_GB2312" w:cs="仿宋_GB2312"/>
          <w:color w:val="000000" w:themeColor="text1"/>
          <w:szCs w:val="32"/>
          <w:lang w:bidi="ar"/>
          <w14:textFill>
            <w14:solidFill>
              <w14:schemeClr w14:val="tx1"/>
            </w14:solidFill>
          </w14:textFill>
        </w:rPr>
        <w:t>更新改造用地约5</w:t>
      </w:r>
      <w:r>
        <w:rPr>
          <w:rFonts w:ascii="仿宋_GB2312" w:hAnsi="宋体" w:eastAsia="仿宋_GB2312" w:cs="仿宋_GB2312"/>
          <w:color w:val="000000" w:themeColor="text1"/>
          <w:szCs w:val="32"/>
          <w:lang w:bidi="ar"/>
          <w14:textFill>
            <w14:solidFill>
              <w14:schemeClr w14:val="tx1"/>
            </w14:solidFill>
          </w14:textFill>
        </w:rPr>
        <w:t>55.98亩工业用地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（具体位置、面积以规划</w:t>
      </w:r>
      <w:r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和自然资源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部门确定为准），</w:t>
      </w:r>
      <w:r>
        <w:rPr>
          <w:rFonts w:hint="eastAsia" w:ascii="仿宋_GB2312" w:hAnsi="宋体" w:eastAsia="仿宋_GB2312" w:cs="仿宋_GB2312"/>
          <w:color w:val="000000" w:themeColor="text1"/>
          <w:szCs w:val="32"/>
          <w:lang w:bidi="ar"/>
          <w14:textFill>
            <w14:solidFill>
              <w14:schemeClr w14:val="tx1"/>
            </w14:solidFill>
          </w14:textFill>
        </w:rPr>
        <w:t>土地使用年限50年。</w:t>
      </w:r>
    </w:p>
    <w:p>
      <w:pPr>
        <w:pStyle w:val="2"/>
        <w:adjustRightInd w:val="0"/>
        <w:snapToGrid w:val="0"/>
        <w:spacing w:line="570" w:lineRule="exact"/>
        <w:ind w:left="0" w:leftChars="0" w:firstLine="412" w:firstLineChars="200"/>
        <w:rPr>
          <w:rFonts w:ascii="仿宋_GB2312" w:hAnsi="宋体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（六）项目规划、建设内容：</w:t>
      </w:r>
      <w:r>
        <w:rPr>
          <w:rFonts w:hint="eastAsia" w:ascii="仿宋_GB2312" w:hAnsi="宋体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项目计划总建设期4年，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在交地之日起6个月内开工，自交地之日起48个月内竣工；项目</w:t>
      </w:r>
      <w:r>
        <w:rPr>
          <w:rFonts w:hint="eastAsia" w:ascii="仿宋_GB2312" w:hAnsi="宋体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容积率约3.0，总建筑面积约111.2万平方米，其中生产性用房面积约97.32万平方米，非生产配套用房面积约13.88万平方米；生产性用房主要由标准厂房、定制厂房两种产品组成。</w:t>
      </w:r>
    </w:p>
    <w:p>
      <w:pPr>
        <w:spacing w:line="570" w:lineRule="exact"/>
        <w:ind w:firstLine="640"/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" w:eastAsia="楷体_GB2312" w:cs="楷体"/>
          <w:color w:val="000000" w:themeColor="text1"/>
          <w:szCs w:val="32"/>
          <w14:textFill>
            <w14:solidFill>
              <w14:schemeClr w14:val="tx1"/>
            </w14:solidFill>
          </w14:textFill>
        </w:rPr>
        <w:t>（七）项目投资：</w:t>
      </w:r>
      <w:r>
        <w:rPr>
          <w:rFonts w:hint="eastAsia" w:ascii="仿宋_GB2312" w:hAnsi="宋体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项目总投资不少于</w:t>
      </w:r>
      <w:r>
        <w:rPr>
          <w:rFonts w:ascii="仿宋_GB2312" w:hAnsi="宋体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仿宋_GB2312" w:hAnsi="宋体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亿元，其中固定资产投资4</w:t>
      </w:r>
      <w:r>
        <w:rPr>
          <w:rFonts w:ascii="仿宋_GB2312" w:hAnsi="宋体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宋体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亿元，流动资金5亿元。</w:t>
      </w:r>
    </w:p>
    <w:p>
      <w:pPr>
        <w:spacing w:line="570" w:lineRule="exact"/>
        <w:ind w:firstLine="640"/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" w:eastAsia="楷体_GB2312" w:cs="楷体"/>
          <w:color w:val="000000" w:themeColor="text1"/>
          <w:szCs w:val="32"/>
          <w14:textFill>
            <w14:solidFill>
              <w14:schemeClr w14:val="tx1"/>
            </w14:solidFill>
          </w14:textFill>
        </w:rPr>
        <w:t>（八）项目产出：</w:t>
      </w:r>
      <w:r>
        <w:rPr>
          <w:rFonts w:hint="eastAsia" w:asci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项目自交地之日起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60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个月内投产，</w:t>
      </w:r>
      <w:r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72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个月内达产；项目投产后第1年产值/营收不低于</w:t>
      </w:r>
      <w:r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35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亿元，第1年税收不低于</w:t>
      </w:r>
      <w:r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1.39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亿元；达产后年均产值/营收不低于8</w:t>
      </w:r>
      <w:r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3.4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亿元，年均税收不低于</w:t>
      </w:r>
      <w:r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3.34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亿元。</w:t>
      </w:r>
      <w:r>
        <w:rPr>
          <w:rFonts w:hint="eastAsia" w:ascii="仿宋_GB2312" w:hAnsi="黑体" w:eastAsia="仿宋_GB2312" w:cs="仿宋_GB2312"/>
          <w:color w:val="000000" w:themeColor="text1"/>
          <w:kern w:val="10"/>
          <w:szCs w:val="32"/>
          <w14:textFill>
            <w14:solidFill>
              <w14:schemeClr w14:val="tx1"/>
            </w14:solidFill>
          </w14:textFill>
        </w:rPr>
        <w:t>项目达产后，</w:t>
      </w:r>
      <w:r>
        <w:rPr>
          <w:rFonts w:ascii="仿宋_GB2312" w:hAnsi="黑体" w:eastAsia="仿宋_GB2312" w:cs="仿宋_GB2312"/>
          <w:color w:val="000000" w:themeColor="text1"/>
          <w:kern w:val="10"/>
          <w:szCs w:val="32"/>
          <w14:textFill>
            <w14:solidFill>
              <w14:schemeClr w14:val="tx1"/>
            </w14:solidFill>
          </w14:textFill>
        </w:rPr>
        <w:t>引入</w:t>
      </w:r>
      <w:r>
        <w:rPr>
          <w:rFonts w:hint="eastAsia" w:ascii="仿宋_GB2312" w:hAnsi="黑体" w:eastAsia="仿宋_GB2312" w:cs="仿宋_GB2312"/>
          <w:color w:val="000000" w:themeColor="text1"/>
          <w:kern w:val="10"/>
          <w:szCs w:val="32"/>
          <w14:textFill>
            <w14:solidFill>
              <w14:schemeClr w14:val="tx1"/>
            </w14:solidFill>
          </w14:textFill>
        </w:rPr>
        <w:t>不少于</w:t>
      </w:r>
      <w:r>
        <w:rPr>
          <w:rFonts w:ascii="仿宋_GB2312" w:hAnsi="黑体" w:eastAsia="仿宋_GB2312" w:cs="仿宋_GB2312"/>
          <w:color w:val="000000" w:themeColor="text1"/>
          <w:kern w:val="10"/>
          <w:szCs w:val="32"/>
          <w14:textFill>
            <w14:solidFill>
              <w14:schemeClr w14:val="tx1"/>
            </w14:solidFill>
          </w14:textFill>
        </w:rPr>
        <w:t>250家</w:t>
      </w:r>
      <w:r>
        <w:rPr>
          <w:rFonts w:hint="eastAsia" w:ascii="仿宋_GB2312" w:hAnsi="黑体" w:eastAsia="仿宋_GB2312" w:cs="仿宋_GB2312"/>
          <w:color w:val="000000" w:themeColor="text1"/>
          <w:kern w:val="10"/>
          <w:szCs w:val="32"/>
          <w14:textFill>
            <w14:solidFill>
              <w14:schemeClr w14:val="tx1"/>
            </w14:solidFill>
          </w14:textFill>
        </w:rPr>
        <w:t>企业在增城区注册独立法人企业，其中四上企业不少于</w:t>
      </w:r>
      <w:r>
        <w:rPr>
          <w:rFonts w:ascii="仿宋_GB2312" w:hAnsi="黑体" w:eastAsia="仿宋_GB2312" w:cs="仿宋_GB2312"/>
          <w:color w:val="000000" w:themeColor="text1"/>
          <w:kern w:val="10"/>
          <w:szCs w:val="32"/>
          <w14:textFill>
            <w14:solidFill>
              <w14:schemeClr w14:val="tx1"/>
            </w14:solidFill>
          </w14:textFill>
        </w:rPr>
        <w:t>90</w:t>
      </w:r>
      <w:r>
        <w:rPr>
          <w:rFonts w:hint="eastAsia" w:ascii="仿宋_GB2312" w:hAnsi="黑体" w:eastAsia="仿宋_GB2312" w:cs="仿宋_GB2312"/>
          <w:color w:val="000000" w:themeColor="text1"/>
          <w:kern w:val="10"/>
          <w:szCs w:val="32"/>
          <w14:textFill>
            <w14:solidFill>
              <w14:schemeClr w14:val="tx1"/>
            </w14:solidFill>
          </w14:textFill>
        </w:rPr>
        <w:t>家，国家高新技术企业不少于</w:t>
      </w:r>
      <w:r>
        <w:rPr>
          <w:rFonts w:ascii="仿宋_GB2312" w:hAnsi="黑体" w:eastAsia="仿宋_GB2312" w:cs="仿宋_GB2312"/>
          <w:color w:val="000000" w:themeColor="text1"/>
          <w:kern w:val="10"/>
          <w:szCs w:val="32"/>
          <w14:textFill>
            <w14:solidFill>
              <w14:schemeClr w14:val="tx1"/>
            </w14:solidFill>
          </w14:textFill>
        </w:rPr>
        <w:t>80</w:t>
      </w:r>
      <w:r>
        <w:rPr>
          <w:rFonts w:hint="eastAsia" w:ascii="仿宋_GB2312" w:hAnsi="黑体" w:eastAsia="仿宋_GB2312" w:cs="仿宋_GB2312"/>
          <w:color w:val="000000" w:themeColor="text1"/>
          <w:kern w:val="10"/>
          <w:szCs w:val="32"/>
          <w14:textFill>
            <w14:solidFill>
              <w14:schemeClr w14:val="tx1"/>
            </w14:solidFill>
          </w14:textFill>
        </w:rPr>
        <w:t>家，国家级或省级专精特新企业不少于</w:t>
      </w:r>
      <w:r>
        <w:rPr>
          <w:rFonts w:ascii="仿宋_GB2312" w:hAnsi="黑体" w:eastAsia="仿宋_GB2312" w:cs="仿宋_GB2312"/>
          <w:color w:val="000000" w:themeColor="text1"/>
          <w:kern w:val="10"/>
          <w:szCs w:val="32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黑体" w:eastAsia="仿宋_GB2312" w:cs="仿宋_GB2312"/>
          <w:color w:val="000000" w:themeColor="text1"/>
          <w:kern w:val="10"/>
          <w:szCs w:val="32"/>
          <w14:textFill>
            <w14:solidFill>
              <w14:schemeClr w14:val="tx1"/>
            </w14:solidFill>
          </w14:textFill>
        </w:rPr>
        <w:t>家（以上企业类型可重复累加计算）。</w:t>
      </w:r>
    </w:p>
    <w:p>
      <w:pPr>
        <w:spacing w:line="570" w:lineRule="exact"/>
        <w:ind w:firstLine="640"/>
        <w:rPr>
          <w:rFonts w:ascii="楷体_GB2312" w:hAnsi="宋体" w:eastAsia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（九）项目招商服务模式：</w:t>
      </w:r>
    </w:p>
    <w:p>
      <w:pPr>
        <w:spacing w:line="570" w:lineRule="exact"/>
        <w:ind w:firstLine="641"/>
        <w:rPr>
          <w:rFonts w:ascii="仿宋_GB2312" w:hAnsi="楷体_GB2312" w:eastAsia="仿宋_GB2312" w:cs="楷体_GB2312"/>
          <w:szCs w:val="32"/>
        </w:rPr>
      </w:pPr>
      <w:r>
        <w:rPr>
          <w:rFonts w:hint="eastAsia" w:ascii="仿宋_GB2312" w:hAnsi="楷体_GB2312" w:eastAsia="仿宋_GB2312" w:cs="楷体_GB2312"/>
          <w:szCs w:val="32"/>
        </w:rPr>
        <w:t>1</w:t>
      </w:r>
      <w:r>
        <w:rPr>
          <w:rFonts w:ascii="仿宋_GB2312" w:hAnsi="楷体_GB2312" w:eastAsia="仿宋_GB2312" w:cs="楷体_GB2312"/>
          <w:szCs w:val="32"/>
        </w:rPr>
        <w:t>.</w:t>
      </w:r>
      <w:r>
        <w:rPr>
          <w:rFonts w:hint="eastAsia" w:ascii="仿宋_GB2312" w:hAnsi="楷体_GB2312" w:eastAsia="仿宋_GB2312" w:cs="楷体_GB2312"/>
          <w:szCs w:val="32"/>
        </w:rPr>
        <w:t>招商模式。产业链招商：万洋集团通过产业链精准招商，先招商再建设；联动招商：自有招商团队1500余人，分布在全国各个区域，其中珠三角招商团队超600人，项目、团队之间形成招商联动；以商招商：现有入园企业1.5万余家，凭借业内良好口碑，实现大数据招商、以商招商。</w:t>
      </w:r>
    </w:p>
    <w:p>
      <w:pPr>
        <w:spacing w:line="570" w:lineRule="exact"/>
        <w:ind w:firstLine="641"/>
        <w:rPr>
          <w:rFonts w:ascii="仿宋_GB2312" w:hAnsi="楷体_GB2312" w:eastAsia="仿宋_GB2312" w:cs="楷体_GB2312"/>
          <w:b/>
          <w:bCs/>
          <w:szCs w:val="32"/>
        </w:rPr>
      </w:pPr>
      <w:r>
        <w:rPr>
          <w:rFonts w:hint="eastAsia" w:ascii="仿宋_GB2312" w:hAnsi="楷体_GB2312" w:eastAsia="仿宋_GB2312" w:cs="楷体_GB2312"/>
          <w:szCs w:val="32"/>
        </w:rPr>
        <w:t>2</w:t>
      </w:r>
      <w:r>
        <w:rPr>
          <w:rFonts w:ascii="仿宋_GB2312" w:hAnsi="楷体_GB2312" w:eastAsia="仿宋_GB2312" w:cs="楷体_GB2312"/>
          <w:szCs w:val="32"/>
        </w:rPr>
        <w:t>.</w:t>
      </w:r>
      <w:r>
        <w:rPr>
          <w:rFonts w:hint="eastAsia" w:ascii="仿宋_GB2312" w:hAnsi="楷体_GB2312" w:eastAsia="仿宋_GB2312" w:cs="楷体_GB2312"/>
          <w:szCs w:val="32"/>
        </w:rPr>
        <w:t>服务模式。依托智慧园区管理系统的服务平台，构建完善的创新服务系统；创新链条式金融服务，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引入大型专业金融机构，利用集团信用为中小企业提供融资贷款；</w:t>
      </w:r>
      <w:r>
        <w:rPr>
          <w:rFonts w:hint="eastAsia" w:ascii="仿宋_GB2312" w:hAnsi="楷体_GB2312" w:eastAsia="仿宋_GB2312" w:cs="楷体_GB2312"/>
          <w:szCs w:val="32"/>
        </w:rPr>
        <w:t>建设创业创新平台，</w:t>
      </w:r>
      <w:r>
        <w:rPr>
          <w:rFonts w:hint="eastAsia" w:ascii="仿宋_GB2312" w:eastAsia="仿宋_GB2312"/>
          <w:szCs w:val="32"/>
        </w:rPr>
        <w:t>积极引进知名的研发平台、机构和人才，打造大众创业、万众创新的</w:t>
      </w:r>
      <w:r>
        <w:rPr>
          <w:rFonts w:hint="eastAsia" w:ascii="仿宋_GB2312" w:hAnsi="楷体_GB2312" w:eastAsia="仿宋_GB2312" w:cs="楷体_GB2312"/>
          <w:szCs w:val="32"/>
        </w:rPr>
        <w:t>科创</w:t>
      </w:r>
      <w:r>
        <w:rPr>
          <w:rFonts w:hint="eastAsia" w:ascii="仿宋_GB2312" w:eastAsia="仿宋_GB2312"/>
          <w:szCs w:val="32"/>
        </w:rPr>
        <w:t>综合服务平台</w:t>
      </w:r>
      <w:r>
        <w:rPr>
          <w:rFonts w:hint="eastAsia" w:ascii="仿宋_GB2312" w:hAnsi="楷体_GB2312" w:eastAsia="仿宋_GB2312" w:cs="楷体_GB2312"/>
          <w:szCs w:val="32"/>
        </w:rPr>
        <w:t>；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整合金融、环保、能源、仓储物流、公共研发平台等生产性、生活性服务资源，降低企业运营成本。通过全方位全链条服务，全力打好招商引商安商稳商“组合拳” ，确保企业扎根增城发展。</w:t>
      </w:r>
    </w:p>
    <w:p>
      <w:pPr>
        <w:widowControl/>
        <w:spacing w:line="570" w:lineRule="exact"/>
        <w:ind w:firstLine="412" w:firstLineChars="200"/>
        <w:rPr>
          <w:rFonts w:ascii="楷体_GB2312" w:hAnsi="楷体" w:eastAsia="楷体_GB2312" w:cs="楷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" w:eastAsia="楷体_GB2312" w:cs="楷体"/>
          <w:color w:val="000000" w:themeColor="text1"/>
          <w:szCs w:val="32"/>
          <w14:textFill>
            <w14:solidFill>
              <w14:schemeClr w14:val="tx1"/>
            </w14:solidFill>
          </w14:textFill>
        </w:rPr>
        <w:t>（十）效益分析：</w:t>
      </w:r>
    </w:p>
    <w:p>
      <w:pPr>
        <w:widowControl/>
        <w:spacing w:line="570" w:lineRule="exact"/>
        <w:ind w:firstLine="412" w:firstLineChars="200"/>
        <w:rPr>
          <w:rFonts w:ascii="仿宋_GB2312" w:hAnsi="楷体" w:eastAsia="仿宋_GB2312" w:cs="楷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楷体" w:eastAsia="仿宋_GB2312" w:cs="楷体"/>
          <w:color w:val="000000" w:themeColor="text1"/>
          <w:szCs w:val="32"/>
          <w14:textFill>
            <w14:solidFill>
              <w14:schemeClr w14:val="tx1"/>
            </w14:solidFill>
          </w14:textFill>
        </w:rPr>
        <w:t>1.投资强度：809万元/亩；</w:t>
      </w:r>
    </w:p>
    <w:p>
      <w:pPr>
        <w:widowControl/>
        <w:spacing w:line="570" w:lineRule="exact"/>
        <w:ind w:firstLine="412" w:firstLineChars="200"/>
        <w:rPr>
          <w:rFonts w:ascii="仿宋_GB2312" w:hAnsi="楷体" w:eastAsia="仿宋_GB2312" w:cs="楷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楷体" w:eastAsia="仿宋_GB2312" w:cs="楷体"/>
          <w:color w:val="000000" w:themeColor="text1"/>
          <w:szCs w:val="32"/>
          <w14:textFill>
            <w14:solidFill>
              <w14:schemeClr w14:val="tx1"/>
            </w14:solidFill>
          </w14:textFill>
        </w:rPr>
        <w:t>2.土地产出率：1500万元/亩；</w:t>
      </w:r>
    </w:p>
    <w:p>
      <w:pPr>
        <w:widowControl/>
        <w:spacing w:line="570" w:lineRule="exact"/>
        <w:ind w:firstLine="412" w:firstLineChars="200"/>
        <w:rPr>
          <w:rFonts w:ascii="仿宋_GB2312" w:hAnsi="楷体" w:eastAsia="仿宋_GB2312" w:cs="楷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楷体" w:eastAsia="仿宋_GB2312" w:cs="楷体"/>
          <w:color w:val="000000" w:themeColor="text1"/>
          <w:szCs w:val="32"/>
          <w14:textFill>
            <w14:solidFill>
              <w14:schemeClr w14:val="tx1"/>
            </w14:solidFill>
          </w14:textFill>
        </w:rPr>
        <w:t>3.税收强度：60万元/亩；</w:t>
      </w:r>
    </w:p>
    <w:p>
      <w:pPr>
        <w:pStyle w:val="2"/>
        <w:adjustRightInd w:val="0"/>
        <w:snapToGrid w:val="0"/>
        <w:spacing w:line="570" w:lineRule="exact"/>
        <w:ind w:left="0" w:leftChars="0" w:firstLine="412" w:firstLineChars="200"/>
        <w:rPr>
          <w:rFonts w:ascii="仿宋_GB2312" w:hAnsi="楷体" w:eastAsia="仿宋_GB2312" w:cs="楷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楷体" w:eastAsia="仿宋_GB2312" w:cs="楷体"/>
          <w:color w:val="000000" w:themeColor="text1"/>
          <w:szCs w:val="32"/>
          <w14:textFill>
            <w14:solidFill>
              <w14:schemeClr w14:val="tx1"/>
            </w14:solidFill>
          </w14:textFill>
        </w:rPr>
        <w:t>4.科技投入：R&amp;D经费投入强度不低于3%；</w:t>
      </w:r>
    </w:p>
    <w:p>
      <w:pPr>
        <w:adjustRightInd w:val="0"/>
        <w:snapToGrid w:val="0"/>
        <w:spacing w:line="570" w:lineRule="exact"/>
        <w:ind w:firstLine="412" w:firstLineChars="200"/>
        <w:rPr>
          <w:rFonts w:ascii="仿宋_GB2312" w:hAnsi="楷体" w:eastAsia="仿宋_GB2312" w:cs="楷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楷体" w:eastAsia="仿宋_GB2312" w:cs="楷体"/>
          <w:color w:val="000000" w:themeColor="text1"/>
          <w:szCs w:val="32"/>
          <w14:textFill>
            <w14:solidFill>
              <w14:schemeClr w14:val="tx1"/>
            </w14:solidFill>
          </w14:textFill>
        </w:rPr>
        <w:t>5.产值能耗：原则上不高于0.15吨标煤/万元；</w:t>
      </w:r>
    </w:p>
    <w:p>
      <w:pPr>
        <w:pStyle w:val="2"/>
        <w:adjustRightInd w:val="0"/>
        <w:snapToGrid w:val="0"/>
        <w:spacing w:line="570" w:lineRule="exact"/>
        <w:ind w:left="0" w:leftChars="0" w:firstLine="412" w:firstLineChars="200"/>
        <w:rPr>
          <w:rFonts w:ascii="仿宋_GB2312" w:hAnsi="楷体" w:eastAsia="仿宋_GB2312" w:cs="楷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楷体" w:eastAsia="仿宋_GB2312" w:cs="楷体"/>
          <w:color w:val="000000" w:themeColor="text1"/>
          <w:szCs w:val="32"/>
          <w14:textFill>
            <w14:solidFill>
              <w14:schemeClr w14:val="tx1"/>
            </w14:solidFill>
          </w14:textFill>
        </w:rPr>
        <w:t>6.就业贡献：预计新创造20000个就业岗位。</w:t>
      </w:r>
    </w:p>
    <w:p>
      <w:pPr>
        <w:spacing w:line="570" w:lineRule="exact"/>
        <w:ind w:firstLine="412" w:firstLineChars="200"/>
        <w:rPr>
          <w:rFonts w:ascii="黑体" w:hAnsi="黑体" w:eastAsia="黑体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  <w:t>四、项目优势和引进意义</w:t>
      </w:r>
    </w:p>
    <w:p>
      <w:pPr>
        <w:spacing w:line="570" w:lineRule="exact"/>
        <w:ind w:firstLine="412" w:firstLineChars="200"/>
        <w:rPr>
          <w:rFonts w:ascii="楷体_GB2312" w:hAnsi="楷体_GB2312" w:eastAsia="楷体_GB2312" w:cs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（一）项目可发挥村镇工业集聚区更新改造先行先试、标杆引领作用。</w:t>
      </w:r>
    </w:p>
    <w:p>
      <w:pPr>
        <w:spacing w:line="570" w:lineRule="exact"/>
        <w:ind w:firstLine="412" w:firstLineChars="200"/>
        <w:rPr>
          <w:rFonts w:ascii="楷体_GB2312" w:hAnsi="楷体_GB2312" w:eastAsia="楷体_GB2312" w:cs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楷体_GB2312" w:eastAsia="仿宋_GB2312" w:cs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我区暂无</w:t>
      </w:r>
      <w:r>
        <w:rPr>
          <w:rFonts w:hint="eastAsia" w:ascii="仿宋_GB2312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村镇工业集聚区</w:t>
      </w:r>
      <w:r>
        <w:rPr>
          <w:rFonts w:hint="eastAsia" w:ascii="仿宋_GB2312" w:hAnsi="楷体_GB2312" w:eastAsia="仿宋_GB2312" w:cs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更新改造项目的成功案例，本项目可填补空白，作为我区试点示范项目，</w:t>
      </w:r>
      <w:r>
        <w:rPr>
          <w:rFonts w:hint="eastAsia" w:ascii="仿宋_GB2312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通过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盘活再开发存量低效用地，释放产业空间，</w:t>
      </w:r>
      <w:r>
        <w:rPr>
          <w:rFonts w:hint="eastAsia" w:ascii="仿宋_GB2312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促进产业转型升级；项目有助于探索村镇工业集聚区</w:t>
      </w:r>
      <w:r>
        <w:rPr>
          <w:rFonts w:hint="eastAsia" w:ascii="仿宋_GB2312" w:hAnsi="楷体_GB2312" w:eastAsia="仿宋_GB2312" w:cs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更新改造</w:t>
      </w:r>
      <w:r>
        <w:rPr>
          <w:rFonts w:hint="eastAsia" w:ascii="仿宋_GB2312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模式及路径，打造广州市村镇工业集聚区更新改造试点标杆项目，积极发挥先行先试、标杆引领作用。</w:t>
      </w:r>
    </w:p>
    <w:p>
      <w:pPr>
        <w:spacing w:line="570" w:lineRule="exact"/>
        <w:ind w:firstLine="412" w:firstLineChars="200"/>
        <w:rPr>
          <w:rFonts w:ascii="楷体_GB2312" w:hAnsi="楷体_GB2312" w:eastAsia="楷体_GB2312" w:cs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（二）项目将导入一批汽车产业中小企业，有助于保障汽车产业链条安全稳定。</w:t>
      </w:r>
    </w:p>
    <w:p>
      <w:pPr>
        <w:spacing w:line="570" w:lineRule="exact"/>
        <w:ind w:firstLine="412" w:firstLineChars="200"/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项目以智能网联汽车零部件、汽车电子及相关配套产业为主导产业，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与我区三大“千亿级</w:t>
      </w:r>
      <w:r>
        <w:rPr>
          <w:rFonts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产业集群发展规划契合，符合《产业结构调整指导目录》（2019年本）鼓励类产业条目。项目可</w:t>
      </w:r>
      <w:r>
        <w:rPr>
          <w:rFonts w:hint="eastAsia" w:ascii="仿宋_GB2312" w:hAnsi="黑体" w:eastAsia="仿宋_GB2312" w:cs="仿宋_GB2312"/>
          <w:kern w:val="10"/>
          <w:szCs w:val="32"/>
        </w:rPr>
        <w:t>为汽车产业优质中小企业提供落地载体，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有利于保障我区汽车产业链供应链稳定发展，助力汽车产业强链补链延链，促进汽车产业集聚发展，助力我区做大做强国际汽车零部件产业基地，进一步增强区域核心竞争力。</w:t>
      </w:r>
    </w:p>
    <w:p>
      <w:pPr>
        <w:spacing w:line="570" w:lineRule="exact"/>
        <w:ind w:firstLine="412" w:firstLineChars="200"/>
        <w:rPr>
          <w:rFonts w:ascii="楷体_GB2312" w:hAnsi="楷体_GB2312" w:eastAsia="楷体_GB2312" w:cs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（三）项目可提升城乡面貌、优化营商环境，实现多方共赢。</w:t>
      </w:r>
    </w:p>
    <w:p>
      <w:pPr>
        <w:spacing w:line="570" w:lineRule="exact"/>
        <w:ind w:firstLine="412" w:firstLineChars="200"/>
        <w:rPr>
          <w:rFonts w:ascii="仿宋_GB2312" w:eastAsia="仿宋_GB2312"/>
        </w:rPr>
      </w:pPr>
      <w:r>
        <w:rPr>
          <w:rFonts w:hint="eastAsia" w:ascii="仿宋_GB2312" w:eastAsia="仿宋_GB2312"/>
        </w:rPr>
        <w:t>项目将极大提升低效土地利用效率，有助于提升城乡面貌、改善发展环境、促进转型发展、带动产城融合发展，改造后可进一步释放环境优势，提升营商环境软实力和竞争力，实现市场主体、集体经济、区域发展多方共赢。</w:t>
      </w:r>
    </w:p>
    <w:p>
      <w:pPr>
        <w:spacing w:line="570" w:lineRule="exact"/>
        <w:ind w:firstLine="412" w:firstLineChars="200"/>
        <w:rPr>
          <w:rFonts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  <w:t>（四）项目有助于带动中小企业入园集约发展，推动工业上楼，示范带动效应强。</w:t>
      </w:r>
    </w:p>
    <w:p>
      <w:pPr>
        <w:spacing w:line="570" w:lineRule="exact"/>
        <w:ind w:firstLine="412" w:firstLineChars="200"/>
        <w:rPr>
          <w:rFonts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项目将致力打造产业集约化发展、工业上楼、产业转型升级、园区配套服务等全方位示范园区，利于整合中小企业以“类轻资产”形式拎包入驻，节省中小企业各环节经营成本，增强企业后续发展动力，为未来中小企业发展起到较好的示范带动效应。</w:t>
      </w:r>
    </w:p>
    <w:p>
      <w:pPr>
        <w:spacing w:line="570" w:lineRule="exact"/>
        <w:ind w:firstLine="412" w:firstLineChars="200"/>
        <w:rPr>
          <w:rFonts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  <w:t>（五）项目经济效益明显，就业带动效应强，助力我区经济稳增长。</w:t>
      </w:r>
    </w:p>
    <w:p>
      <w:pPr>
        <w:spacing w:line="570" w:lineRule="exact"/>
        <w:ind w:firstLine="412" w:firstLineChars="200"/>
        <w:rPr>
          <w:rFonts w:ascii="仿宋_GB2312" w:eastAsia="仿宋_GB2312"/>
        </w:rPr>
      </w:pPr>
      <w:r>
        <w:rPr>
          <w:rFonts w:hint="eastAsia" w:ascii="仿宋_GB2312" w:eastAsia="仿宋_GB2312"/>
        </w:rPr>
        <w:t>项目总投资不少于50亿元，开发进程快，产出效益明显，可快速拉动我区固定资产投资。项目引入不少于250家企业，带动就业岗位约2万个，并引入一批高素质创新型人才，有助于拉动区域消费需求，进一步激发经济活力，助力我区经济稳增长。</w:t>
      </w:r>
    </w:p>
    <w:p>
      <w:pPr>
        <w:pStyle w:val="2"/>
        <w:spacing w:line="570" w:lineRule="exact"/>
        <w:ind w:left="63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8"/>
        <w:spacing w:line="570" w:lineRule="exact"/>
        <w:ind w:firstLine="632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附件：增城区仙村镇上境村村镇工业集聚区项目情况图</w:t>
      </w:r>
    </w:p>
    <w:p>
      <w:pPr>
        <w:spacing w:line="570" w:lineRule="exact"/>
        <w:rPr>
          <w:rFonts w:ascii="仿宋_GB2312" w:eastAsia="仿宋_GB2312"/>
        </w:rPr>
      </w:pPr>
    </w:p>
    <w:p>
      <w:pPr>
        <w:spacing w:line="570" w:lineRule="exact"/>
        <w:ind w:firstLine="412" w:firstLineChars="200"/>
        <w:rPr>
          <w:rFonts w:ascii="仿宋_GB2312" w:hAnsi="仿宋_GB2312" w:eastAsia="仿宋_GB2312" w:cs="仿宋_GB2312"/>
          <w:szCs w:val="36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/>
          <w:cols w:space="0" w:num="1"/>
          <w:docGrid w:type="linesAndChars" w:linePitch="579" w:charSpace="-842"/>
        </w:sectPr>
      </w:pPr>
    </w:p>
    <w:p>
      <w:pPr>
        <w:spacing w:line="570" w:lineRule="exact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附件：</w:t>
      </w:r>
    </w:p>
    <w:p>
      <w:pPr>
        <w:pStyle w:val="8"/>
        <w:spacing w:line="570" w:lineRule="exact"/>
        <w:jc w:val="center"/>
        <w:sectPr>
          <w:footerReference r:id="rId4" w:type="default"/>
          <w:pgSz w:w="16838" w:h="11906" w:orient="landscape"/>
          <w:pgMar w:top="1587" w:right="1417" w:bottom="1474" w:left="1417" w:header="851" w:footer="992" w:gutter="0"/>
          <w:pgNumType w:fmt="numberInDash"/>
          <w:cols w:space="0" w:num="1"/>
          <w:docGrid w:type="lines" w:linePitch="327" w:charSpace="0"/>
        </w:sect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685165</wp:posOffset>
            </wp:positionH>
            <wp:positionV relativeFrom="paragraph">
              <wp:posOffset>400050</wp:posOffset>
            </wp:positionV>
            <wp:extent cx="7464425" cy="4838700"/>
            <wp:effectExtent l="0" t="0" r="3175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66"/>
                    <a:stretch>
                      <a:fillRect/>
                    </a:stretch>
                  </pic:blipFill>
                  <pic:spPr>
                    <a:xfrm>
                      <a:off x="0" y="0"/>
                      <a:ext cx="7464307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仿宋_GB2312"/>
          <w:sz w:val="44"/>
          <w:szCs w:val="44"/>
        </w:rPr>
        <w:t>增城区仙村镇上境村村镇工业集聚区项目情况图</w:t>
      </w:r>
      <w:bookmarkStart w:id="1" w:name="_GoBack"/>
      <w:bookmarkEnd w:id="1"/>
    </w:p>
    <w:p>
      <w:pPr>
        <w:pStyle w:val="15"/>
        <w:numPr>
          <w:ilvl w:val="0"/>
          <w:numId w:val="0"/>
        </w:numPr>
        <w:bidi w:val="0"/>
        <w:rPr>
          <w:rFonts w:hint="default" w:ascii="仿宋_GB2312" w:hAnsi="仿宋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长城小标宋体">
    <w:altName w:val="方正小标宋简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-115570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9.1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BYAAABkcnMvUEsBAhQAFAAAAAgAh07iQM35KVPWAAAACAEAAA8AAAAAAAAAAQAgAAAAOAAAAGRy&#10;cy9kb3ducmV2LnhtbFBLAQIUABQAAAAIAIdO4kAm1VpzKgIAAFUEAAAOAAAAAAAAAAEAIAAAADsB&#10;AABkcnMvZTJvRG9jLnhtbFBLBQYAAAAABgAGAFkBAADX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-115570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9.1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zfkpU9YAAAAIAQAADwAAAAAAAAABACAAAAA4AAAA&#10;ZHJzL2Rvd25yZXYueG1sUEsBAhQAFAAAAAgAh07iQBcMibgsAgAAVQQAAA4AAAAAAAAAAQAgAAAA&#10;Ow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BYAAABkcnMvUEsBAhQAFAAAAAgAh07iQM6pebnPAAAABQEAAA8AAAAAAAAA&#10;AQAgAAAAOAAAAGRycy9kb3ducmV2LnhtbFBLAQIUABQAAAAIAIdO4kBKlyLzywEAAJwDAAAOAAAA&#10;AAAAAAEAIAAAADQ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4816EE"/>
    <w:multiLevelType w:val="multilevel"/>
    <w:tmpl w:val="064816EE"/>
    <w:lvl w:ilvl="0" w:tentative="0">
      <w:start w:val="1"/>
      <w:numFmt w:val="chineseCounting"/>
      <w:pStyle w:val="3"/>
      <w:suff w:val="nothing"/>
      <w:lvlText w:val="第%1章 "/>
      <w:lvlJc w:val="left"/>
      <w:pPr>
        <w:ind w:left="5232" w:hanging="432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96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lMjQxY2M4NzdhNTAwYjcyOTYzN2E2YjlmYjdjM2EifQ=="/>
  </w:docVars>
  <w:rsids>
    <w:rsidRoot w:val="00000000"/>
    <w:rsid w:val="003220D1"/>
    <w:rsid w:val="0059671B"/>
    <w:rsid w:val="00733E26"/>
    <w:rsid w:val="00A364B9"/>
    <w:rsid w:val="00E829F5"/>
    <w:rsid w:val="05526DFC"/>
    <w:rsid w:val="09A12CDC"/>
    <w:rsid w:val="0AC97D79"/>
    <w:rsid w:val="0C2F1549"/>
    <w:rsid w:val="0C4647CD"/>
    <w:rsid w:val="0DEE0B54"/>
    <w:rsid w:val="0E602CB4"/>
    <w:rsid w:val="0EE02AB7"/>
    <w:rsid w:val="10393999"/>
    <w:rsid w:val="146D6F83"/>
    <w:rsid w:val="15115C90"/>
    <w:rsid w:val="15D10C0C"/>
    <w:rsid w:val="16692980"/>
    <w:rsid w:val="169C3C7F"/>
    <w:rsid w:val="18F47C3A"/>
    <w:rsid w:val="199647B0"/>
    <w:rsid w:val="1B124510"/>
    <w:rsid w:val="1BA22798"/>
    <w:rsid w:val="1C627327"/>
    <w:rsid w:val="1DC87C4E"/>
    <w:rsid w:val="1FD61FB0"/>
    <w:rsid w:val="1FD71884"/>
    <w:rsid w:val="204C4020"/>
    <w:rsid w:val="20605B21"/>
    <w:rsid w:val="20783067"/>
    <w:rsid w:val="2166485B"/>
    <w:rsid w:val="219964D3"/>
    <w:rsid w:val="22E86073"/>
    <w:rsid w:val="23462568"/>
    <w:rsid w:val="23783F52"/>
    <w:rsid w:val="238C0232"/>
    <w:rsid w:val="23ED1676"/>
    <w:rsid w:val="2412732E"/>
    <w:rsid w:val="255E41D9"/>
    <w:rsid w:val="265F42BF"/>
    <w:rsid w:val="27F51450"/>
    <w:rsid w:val="27F80CB2"/>
    <w:rsid w:val="28DC7071"/>
    <w:rsid w:val="2C986BB2"/>
    <w:rsid w:val="2CB06F6C"/>
    <w:rsid w:val="2D7A507B"/>
    <w:rsid w:val="2DAA5AD8"/>
    <w:rsid w:val="3021584A"/>
    <w:rsid w:val="30360F1B"/>
    <w:rsid w:val="30B26121"/>
    <w:rsid w:val="31A45ED4"/>
    <w:rsid w:val="324234D5"/>
    <w:rsid w:val="32DF33F9"/>
    <w:rsid w:val="33001AC7"/>
    <w:rsid w:val="33F85ED1"/>
    <w:rsid w:val="33FA3B7B"/>
    <w:rsid w:val="34E16FD5"/>
    <w:rsid w:val="357F08AD"/>
    <w:rsid w:val="35A23692"/>
    <w:rsid w:val="35A66E91"/>
    <w:rsid w:val="36101C06"/>
    <w:rsid w:val="361B7A56"/>
    <w:rsid w:val="36C964B2"/>
    <w:rsid w:val="36F7280E"/>
    <w:rsid w:val="38205705"/>
    <w:rsid w:val="388F59C0"/>
    <w:rsid w:val="39C45467"/>
    <w:rsid w:val="39E82F88"/>
    <w:rsid w:val="3C122C98"/>
    <w:rsid w:val="3CD967E3"/>
    <w:rsid w:val="3F990DB8"/>
    <w:rsid w:val="3FC7326B"/>
    <w:rsid w:val="402E6EC7"/>
    <w:rsid w:val="405A1E31"/>
    <w:rsid w:val="41015956"/>
    <w:rsid w:val="41596145"/>
    <w:rsid w:val="41BC2576"/>
    <w:rsid w:val="42784D3D"/>
    <w:rsid w:val="42A91CE4"/>
    <w:rsid w:val="42F233B4"/>
    <w:rsid w:val="438B7C9A"/>
    <w:rsid w:val="44055F4E"/>
    <w:rsid w:val="442004E3"/>
    <w:rsid w:val="4510256F"/>
    <w:rsid w:val="451828E7"/>
    <w:rsid w:val="48EE13A1"/>
    <w:rsid w:val="49185068"/>
    <w:rsid w:val="49B43966"/>
    <w:rsid w:val="4A6B7183"/>
    <w:rsid w:val="4B59458D"/>
    <w:rsid w:val="4C7958ED"/>
    <w:rsid w:val="4D1E52D0"/>
    <w:rsid w:val="4D830ADC"/>
    <w:rsid w:val="4DD0778F"/>
    <w:rsid w:val="4E986245"/>
    <w:rsid w:val="4F9A62A6"/>
    <w:rsid w:val="51D977EB"/>
    <w:rsid w:val="53287DF3"/>
    <w:rsid w:val="53E811F5"/>
    <w:rsid w:val="549368AF"/>
    <w:rsid w:val="558477DD"/>
    <w:rsid w:val="57E46880"/>
    <w:rsid w:val="588751FD"/>
    <w:rsid w:val="58B71C77"/>
    <w:rsid w:val="594352B9"/>
    <w:rsid w:val="598F1477"/>
    <w:rsid w:val="5AAC3332"/>
    <w:rsid w:val="5B727D3A"/>
    <w:rsid w:val="5B9B5B49"/>
    <w:rsid w:val="5F4D63EA"/>
    <w:rsid w:val="5FC548DC"/>
    <w:rsid w:val="626A7D5A"/>
    <w:rsid w:val="6328127E"/>
    <w:rsid w:val="6339698D"/>
    <w:rsid w:val="646C1BB9"/>
    <w:rsid w:val="646C6F60"/>
    <w:rsid w:val="67ED3666"/>
    <w:rsid w:val="685D054E"/>
    <w:rsid w:val="6882728A"/>
    <w:rsid w:val="68A37E60"/>
    <w:rsid w:val="69B37293"/>
    <w:rsid w:val="6E4E3E19"/>
    <w:rsid w:val="7019691C"/>
    <w:rsid w:val="705B6F34"/>
    <w:rsid w:val="7082119A"/>
    <w:rsid w:val="70B20DE3"/>
    <w:rsid w:val="73492B25"/>
    <w:rsid w:val="739764D5"/>
    <w:rsid w:val="74AC62F7"/>
    <w:rsid w:val="75037147"/>
    <w:rsid w:val="75B571E3"/>
    <w:rsid w:val="77862E6D"/>
    <w:rsid w:val="77E66DCA"/>
    <w:rsid w:val="79674502"/>
    <w:rsid w:val="7BDA7D99"/>
    <w:rsid w:val="7D023103"/>
    <w:rsid w:val="7DB51C60"/>
    <w:rsid w:val="7DD65E4C"/>
    <w:rsid w:val="7DF32A76"/>
    <w:rsid w:val="FFE7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100" w:after="90" w:line="576" w:lineRule="auto"/>
      <w:ind w:left="432" w:firstLine="0" w:firstLineChars="0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napToGrid w:val="0"/>
      <w:spacing w:line="570" w:lineRule="exact"/>
      <w:outlineLvl w:val="1"/>
    </w:pPr>
    <w:rPr>
      <w:rFonts w:ascii="黑体" w:hAnsi="黑体" w:eastAsia="黑体" w:cs="黑体"/>
      <w:sz w:val="44"/>
      <w:szCs w:val="44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styleId="5">
    <w:name w:val="Body Text"/>
    <w:basedOn w:val="1"/>
    <w:next w:val="6"/>
    <w:qFormat/>
    <w:uiPriority w:val="99"/>
    <w:pPr>
      <w:widowControl/>
      <w:spacing w:before="140"/>
      <w:ind w:left="114"/>
      <w:jc w:val="left"/>
    </w:pPr>
    <w:rPr>
      <w:rFonts w:ascii="仿宋_GB2312" w:hAnsi="Times New Roman" w:eastAsia="仿宋_GB2312" w:cs="仿宋_GB2312"/>
      <w:kern w:val="0"/>
      <w:sz w:val="32"/>
      <w:szCs w:val="32"/>
      <w:lang w:eastAsia="en-US"/>
    </w:rPr>
  </w:style>
  <w:style w:type="paragraph" w:styleId="6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Plain Text"/>
    <w:basedOn w:val="1"/>
    <w:qFormat/>
    <w:uiPriority w:val="0"/>
    <w:rPr>
      <w:rFonts w:ascii="宋体" w:hAnsi="Courier New"/>
      <w:sz w:val="21"/>
      <w:szCs w:val="20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Body Text First Indent 2"/>
    <w:basedOn w:val="7"/>
    <w:qFormat/>
    <w:uiPriority w:val="0"/>
    <w:pPr>
      <w:keepNext w:val="0"/>
      <w:keepLines w:val="0"/>
      <w:widowControl w:val="0"/>
      <w:suppressLineNumbers w:val="0"/>
      <w:spacing w:after="120" w:afterAutospacing="0"/>
      <w:ind w:left="420" w:leftChars="200" w:firstLine="420"/>
      <w:jc w:val="both"/>
    </w:pPr>
    <w:rPr>
      <w:rFonts w:hint="default" w:ascii="Times New Roman" w:hAnsi="Times New Roman" w:cs="Times New Roman"/>
      <w:kern w:val="2"/>
      <w:sz w:val="21"/>
      <w:szCs w:val="21"/>
      <w:lang w:val="en-US" w:eastAsia="zh-CN" w:bidi="ar"/>
    </w:rPr>
  </w:style>
  <w:style w:type="paragraph" w:customStyle="1" w:styleId="14">
    <w:name w:val="123"/>
    <w:basedOn w:val="1"/>
    <w:qFormat/>
    <w:uiPriority w:val="0"/>
    <w:pPr>
      <w:autoSpaceDE w:val="0"/>
      <w:autoSpaceDN w:val="0"/>
      <w:ind w:firstLine="518" w:firstLineChars="216"/>
      <w:jc w:val="left"/>
    </w:pPr>
    <w:rPr>
      <w:rFonts w:ascii="宋体" w:hAnsi="宋体"/>
      <w:color w:val="000000"/>
      <w:kern w:val="0"/>
      <w:szCs w:val="20"/>
    </w:rPr>
  </w:style>
  <w:style w:type="paragraph" w:customStyle="1" w:styleId="15">
    <w:name w:val="公文"/>
    <w:basedOn w:val="1"/>
    <w:qFormat/>
    <w:uiPriority w:val="0"/>
    <w:rPr>
      <w:rFonts w:hint="eastAsia" w:eastAsia="仿宋_GB2312"/>
      <w:sz w:val="32"/>
    </w:rPr>
  </w:style>
  <w:style w:type="character" w:customStyle="1" w:styleId="16">
    <w:name w:val="3zw1"/>
    <w:basedOn w:val="13"/>
    <w:qFormat/>
    <w:uiPriority w:val="0"/>
    <w:rPr>
      <w:color w:val="000000"/>
      <w:sz w:val="21"/>
      <w:szCs w:val="21"/>
    </w:rPr>
  </w:style>
  <w:style w:type="paragraph" w:customStyle="1" w:styleId="17">
    <w:name w:val="正文 New New New New New New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491</Words>
  <Characters>527</Characters>
  <Lines>0</Lines>
  <Paragraphs>0</Paragraphs>
  <TotalTime>0</TotalTime>
  <ScaleCrop>false</ScaleCrop>
  <LinksUpToDate>false</LinksUpToDate>
  <CharactersWithSpaces>527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2024-03-05T18:02:00Z</dcterms:created>
  <dc:creator>Administrator</dc:creator>
  <cp:lastModifiedBy>GXJ</cp:lastModifiedBy>
  <dcterms:modified xsi:type="dcterms:W3CDTF">2026-05-26T17:38:11Z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2CA6B3AFEFD14BA5B0144BC9747E5243_13</vt:lpwstr>
  </property>
  <property fmtid="{D5CDD505-2E9C-101B-9397-08002B2CF9AE}" pid="4" name="KSOTemplateDocerSaveRecord">
    <vt:lpwstr>eyJoZGlkIjoiYjhmZmMxM2Q5NmY2NmU2OTk0NTQ4NzIwODliZGEzMDYiLCJ1c2VySWQiOiIxNDYyMTE5ODcyIn0=</vt:lpwstr>
  </property>
</Properties>
</file>