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D0A1">
      <w:pPr>
        <w:ind w:right="299" w:rightChars="138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4</w:t>
      </w:r>
    </w:p>
    <w:p w14:paraId="47B3E810">
      <w:pPr>
        <w:ind w:right="299" w:rightChars="138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33B51E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纳入定点后使用医疗保障基金</w:t>
      </w:r>
    </w:p>
    <w:p w14:paraId="3255C602"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预测性分析报告</w:t>
      </w:r>
    </w:p>
    <w:p w14:paraId="3B3D9FA1">
      <w:pPr>
        <w:ind w:right="299" w:rightChars="138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6CA19B3">
      <w:pPr>
        <w:ind w:right="299" w:rightChars="138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请根据医疗机构实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际情况制定，分析报告应至少包含以下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四个部分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内容：</w:t>
      </w:r>
    </w:p>
    <w:p w14:paraId="14EFC494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/>
        </w:rPr>
        <w:t>医疗机构基本情况；</w:t>
      </w:r>
    </w:p>
    <w:p w14:paraId="0F4F52FE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近3个月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eastAsia="zh-CN"/>
        </w:rPr>
        <w:t>运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营状况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eastAsia="zh-CN"/>
        </w:rPr>
        <w:t>：医疗服务总量、总费用及人次情况（含医疗美容、辅助生殖、生活照护、种植牙的服务量、费用及人次情况），门急诊及住院病人平均费用情况；</w:t>
      </w:r>
    </w:p>
    <w:p w14:paraId="2EC368FD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预测分析纳入定点后医保基金使用情况；</w:t>
      </w:r>
    </w:p>
    <w:p w14:paraId="472668B2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医保基金安全风险防范预案及措施。</w:t>
      </w:r>
    </w:p>
    <w:p w14:paraId="4C6AD70A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5252F"/>
    <w:multiLevelType w:val="singleLevel"/>
    <w:tmpl w:val="AEE525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AE01AE"/>
    <w:rsid w:val="04415E0C"/>
    <w:rsid w:val="16AE01AE"/>
    <w:rsid w:val="49FBFFEB"/>
    <w:rsid w:val="7F974AAA"/>
    <w:rsid w:val="FFEE32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2021-12-11T00:20:00Z</dcterms:created>
  <dc:creator>李丕</dc:creator>
  <cp:lastModifiedBy>刘梦洁</cp:lastModifiedBy>
  <dcterms:modified xsi:type="dcterms:W3CDTF">2026-07-15T14:37:49Z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B980F85A218E111028A12467B0010EA7_43</vt:lpwstr>
  </property>
</Properties>
</file>