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2E58C">
      <w:pPr>
        <w:ind w:right="299" w:rightChars="138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4</w:t>
      </w:r>
    </w:p>
    <w:p w14:paraId="2894FC40">
      <w:pPr>
        <w:ind w:right="299" w:rightChars="138"/>
        <w:jc w:val="left"/>
        <w:rPr>
          <w:rFonts w:hint="eastAsia" w:ascii="黑体" w:hAnsi="黑体" w:eastAsia="黑体" w:cs="黑体"/>
          <w:sz w:val="32"/>
          <w:szCs w:val="32"/>
        </w:rPr>
      </w:pPr>
    </w:p>
    <w:p w14:paraId="20BE5AFE"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纳入定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点后使用医疗保障基金</w:t>
      </w:r>
    </w:p>
    <w:p w14:paraId="331EB2BB">
      <w:pPr>
        <w:adjustRightInd w:val="0"/>
        <w:snapToGrid w:val="0"/>
        <w:jc w:val="center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/>
        </w:rPr>
        <w:t>预测性分析报告</w:t>
      </w:r>
    </w:p>
    <w:p w14:paraId="777EAFB5">
      <w:pPr>
        <w:ind w:right="299" w:rightChars="138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3D9AB2E">
      <w:pPr>
        <w:ind w:right="299" w:rightChars="138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请根据零售药店实际情况制定，分析报告应至少包含以下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四个部分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内容：</w:t>
      </w:r>
    </w:p>
    <w:p w14:paraId="3770EE80">
      <w:pPr>
        <w:numPr>
          <w:ilvl w:val="0"/>
          <w:numId w:val="1"/>
        </w:numPr>
        <w:ind w:right="299" w:rightChars="138" w:firstLine="654" w:firstLineChars="200"/>
        <w:jc w:val="left"/>
        <w:rPr>
          <w:rFonts w:hint="eastAsia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val="en-US" w:eastAsia="zh-CN"/>
        </w:rPr>
        <w:t>零售药店基本情况；</w:t>
      </w:r>
    </w:p>
    <w:p w14:paraId="426BD265">
      <w:pPr>
        <w:numPr>
          <w:ilvl w:val="0"/>
          <w:numId w:val="1"/>
        </w:numPr>
        <w:ind w:right="299" w:rightChars="138" w:firstLine="65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</w:rPr>
        <w:t>近3个月</w:t>
      </w:r>
      <w:r>
        <w:rPr>
          <w:rFonts w:hint="eastAsia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eastAsia="zh-CN"/>
        </w:rPr>
        <w:t>运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</w:rPr>
        <w:t>营状况</w:t>
      </w:r>
      <w:r>
        <w:rPr>
          <w:rFonts w:hint="eastAsia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  <w:lang w:eastAsia="zh-CN"/>
        </w:rPr>
        <w:t>：销售商品（含药品、医疗器械、保健食品、消毒用品、非医疗用品等）总量及总费用情况；</w:t>
      </w:r>
    </w:p>
    <w:p w14:paraId="54D73B43">
      <w:pPr>
        <w:numPr>
          <w:ilvl w:val="0"/>
          <w:numId w:val="1"/>
        </w:numPr>
        <w:ind w:right="299" w:rightChars="138" w:firstLine="65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</w:rPr>
        <w:t>预测分析纳入定点后医保基金使用情况；</w:t>
      </w:r>
    </w:p>
    <w:p w14:paraId="3C3E4020">
      <w:pPr>
        <w:numPr>
          <w:ilvl w:val="0"/>
          <w:numId w:val="1"/>
        </w:numPr>
        <w:ind w:right="299" w:rightChars="138" w:firstLine="654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kern w:val="0"/>
          <w:sz w:val="32"/>
          <w:szCs w:val="32"/>
        </w:rPr>
        <w:t>医保基金安全风险防范预案及措施。</w:t>
      </w:r>
    </w:p>
    <w:p w14:paraId="03DC7A80"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15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E5252F"/>
    <w:multiLevelType w:val="singleLevel"/>
    <w:tmpl w:val="AEE5252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C42C0"/>
    <w:rsid w:val="04415E0C"/>
    <w:rsid w:val="268C42C0"/>
    <w:rsid w:val="47FF782F"/>
    <w:rsid w:val="97EE792D"/>
    <w:rsid w:val="DFF933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2021-12-11T00:49:00Z</dcterms:created>
  <dc:creator>李丕</dc:creator>
  <cp:lastModifiedBy>刘梦洁</cp:lastModifiedBy>
  <dcterms:modified xsi:type="dcterms:W3CDTF">2026-07-15T15:09:36Z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F64161D75AC0EAB012A22467A94B861F_43</vt:lpwstr>
  </property>
</Properties>
</file>