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before="0" w:beforeAutospacing="0" w:after="0" w:afterAutospacing="0" w:line="560" w:lineRule="exact"/>
        <w:ind w:left="0" w:right="0"/>
        <w:jc w:val="both"/>
        <w:rPr>
          <w:rFonts w:hint="default" w:ascii="黑体" w:hAnsi="宋体" w:eastAsia="黑体" w:cs="黑体"/>
          <w:kern w:val="2"/>
          <w:sz w:val="32"/>
          <w:szCs w:val="32"/>
          <w:lang w:eastAsia="zh-CN"/>
        </w:rPr>
      </w:pPr>
      <w:r>
        <w:rPr>
          <w:rFonts w:hint="eastAsia" w:ascii="黑体" w:hAnsi="宋体" w:eastAsia="黑体" w:cs="黑体"/>
          <w:kern w:val="2"/>
          <w:sz w:val="32"/>
          <w:szCs w:val="32"/>
          <w:lang w:eastAsia="zh-CN"/>
        </w:rPr>
        <w:t>附件</w:t>
      </w:r>
      <w:r>
        <w:rPr>
          <w:rFonts w:hint="default" w:ascii="黑体" w:hAnsi="宋体" w:eastAsia="黑体" w:cs="黑体"/>
          <w:kern w:val="2"/>
          <w:sz w:val="32"/>
          <w:szCs w:val="32"/>
          <w:lang w:eastAsia="zh-CN"/>
        </w:rPr>
        <w:t>2</w:t>
      </w:r>
    </w:p>
    <w:p>
      <w:pPr>
        <w:pStyle w:val="3"/>
        <w:keepNext w:val="0"/>
        <w:keepLines w:val="0"/>
        <w:widowControl/>
        <w:suppressLineNumbers w:val="0"/>
        <w:spacing w:before="0" w:beforeAutospacing="0" w:after="0" w:afterAutospacing="0" w:line="560" w:lineRule="exact"/>
        <w:ind w:left="0" w:right="0"/>
        <w:jc w:val="both"/>
        <w:rPr>
          <w:rFonts w:hint="default" w:ascii="黑体" w:hAnsi="宋体" w:eastAsia="黑体" w:cs="黑体"/>
          <w:kern w:val="2"/>
          <w:sz w:val="32"/>
          <w:szCs w:val="32"/>
          <w:lang w:eastAsia="zh-CN"/>
        </w:rPr>
      </w:pPr>
    </w:p>
    <w:p>
      <w:pPr>
        <w:pStyle w:val="3"/>
        <w:widowControl/>
        <w:spacing w:before="0" w:beforeAutospacing="0" w:after="0" w:afterAutospacing="0"/>
        <w:jc w:val="center"/>
        <w:rPr>
          <w:rFonts w:hint="eastAsia" w:ascii="Times New Roman" w:hAnsi="Times New Roman" w:eastAsia="方正小标宋简体"/>
          <w:kern w:val="2"/>
          <w:sz w:val="44"/>
          <w:szCs w:val="44"/>
        </w:rPr>
      </w:pPr>
      <w:r>
        <w:rPr>
          <w:rFonts w:hint="eastAsia" w:ascii="Times New Roman" w:hAnsi="Times New Roman" w:eastAsia="方正小标宋简体"/>
          <w:kern w:val="2"/>
          <w:sz w:val="44"/>
          <w:szCs w:val="44"/>
        </w:rPr>
        <w:t>少儿手绘地图大赛参赛须知</w:t>
      </w:r>
    </w:p>
    <w:p>
      <w:pPr>
        <w:pStyle w:val="3"/>
        <w:widowControl/>
        <w:spacing w:before="0" w:beforeAutospacing="0" w:after="0" w:afterAutospacing="0"/>
        <w:jc w:val="center"/>
        <w:rPr>
          <w:rFonts w:ascii="Times New Roman" w:hAnsi="Times New Roman" w:eastAsia="方正小标宋简体"/>
          <w:kern w:val="2"/>
          <w:sz w:val="44"/>
          <w:szCs w:val="44"/>
        </w:rPr>
      </w:pPr>
      <w:r>
        <w:rPr>
          <w:rFonts w:hint="eastAsia" w:ascii="Times New Roman" w:hAnsi="Times New Roman" w:eastAsia="方正小标宋简体"/>
          <w:kern w:val="2"/>
          <w:sz w:val="44"/>
          <w:szCs w:val="44"/>
        </w:rPr>
        <w:t>（地图内容表达注意事项）</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地图是表达国家版图最常用、最主要的形式。正确的国家版图反映了国家的主权范围，具有严肃的政治性和法定性。为引导广大青少年正确使用和绘制国家版图，避免在作品中出现“问题地图”，确保“美丽中国”少儿手绘地图大赛的顺利进行，现就参赛作品的地图内容表达的正确性和完整性，明确以下注意事项，请各指导老师、参赛单位及参赛选手仔细阅读并遵照执行。</w:t>
      </w:r>
    </w:p>
    <w:p>
      <w:pPr>
        <w:pStyle w:val="3"/>
        <w:widowControl/>
        <w:spacing w:before="0" w:beforeAutospacing="0" w:after="0" w:afterAutospacing="0"/>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一、地图内容表达的注意事项</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地图内容表达，应遵守国家有关地图内容表示的规定。</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（一）地图上不得表示下列内容：</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1.危害国家统一、主权和领土完整的；</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2.危害国家安全、损害国家荣誉和利益的；</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3.属于国家秘密的；</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4.影响民族团结、侵害民族风俗习惯的；</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5.法律、法规规定不得表示的其他内容。</w:t>
      </w:r>
    </w:p>
    <w:p>
      <w:pPr>
        <w:pStyle w:val="3"/>
        <w:widowControl/>
        <w:numPr>
          <w:ilvl w:val="0"/>
          <w:numId w:val="1"/>
        </w:numPr>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中华人民共和国国界、行政区域界线或者范围以及世界各国间边界、历史疆界在地图上的表示应当符合国家有关规定；</w:t>
      </w:r>
    </w:p>
    <w:p>
      <w:pPr>
        <w:pStyle w:val="3"/>
        <w:widowControl/>
        <w:numPr>
          <w:ilvl w:val="0"/>
          <w:numId w:val="1"/>
        </w:numPr>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重要地理信息数据、地名等在地图上的表示应当符合国家有关规定；</w:t>
      </w:r>
    </w:p>
    <w:p>
      <w:pPr>
        <w:pStyle w:val="3"/>
        <w:widowControl/>
        <w:numPr>
          <w:ilvl w:val="0"/>
          <w:numId w:val="1"/>
        </w:numPr>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主要表现地包含中华人民共和国疆域的地图，中华人民共和国疆域应当完整表示。</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涉及具体行政区域界线或者范围的可参照以下有关标准地图表示。</w:t>
      </w:r>
    </w:p>
    <w:p>
      <w:pPr>
        <w:pStyle w:val="3"/>
        <w:widowControl/>
        <w:spacing w:before="0" w:beforeAutospacing="0" w:after="0" w:afterAutospacing="0"/>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二、标准地图资源获取渠道</w:t>
      </w:r>
    </w:p>
    <w:p>
      <w:pPr>
        <w:pStyle w:val="3"/>
        <w:widowControl/>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在公益性地图资源建设与服务保障方面，各级自然资源主管部门逐步建立起标准地图服务体系，为公众日渐多元化、个性化的地图需求提供高质量地图保障。可以从以下途径获取标准地图：</w:t>
      </w:r>
    </w:p>
    <w:p>
      <w:pPr>
        <w:wordWrap w:val="0"/>
        <w:spacing w:line="600" w:lineRule="exact"/>
        <w:ind w:firstLine="640" w:firstLineChars="200"/>
        <w:rPr>
          <w:rFonts w:hint="eastAsia" w:ascii="方正黑体_GBK" w:hAnsi="方正黑体_GBK" w:eastAsia="方正黑体_GBK" w:cs="方正黑体_GBK"/>
          <w:szCs w:val="21"/>
        </w:rPr>
      </w:pPr>
      <w:r>
        <w:rPr>
          <w:rFonts w:hint="eastAsia" w:ascii="仿宋_GB2312" w:hAnsi="仿宋_GB2312" w:eastAsia="仿宋_GB2312" w:cs="仿宋_GB2312"/>
          <w:sz w:val="32"/>
          <w:szCs w:val="32"/>
        </w:rPr>
        <w:t>（一）国家标准地图服务系统（访问地址为：</w:t>
      </w:r>
      <w:r>
        <w:rPr>
          <w:rFonts w:hint="eastAsia" w:ascii="仿宋_GB2312" w:hAnsi="仿宋_GB2312" w:eastAsia="仿宋_GB2312" w:cs="仿宋_GB2312"/>
          <w:bCs/>
          <w:kern w:val="0"/>
          <w:sz w:val="32"/>
          <w:szCs w:val="32"/>
        </w:rPr>
        <w:t>http://bzdt.ch.mnr.gov.cn/</w:t>
      </w:r>
      <w:r>
        <w:rPr>
          <w:rFonts w:hint="eastAsia" w:ascii="仿宋_GB2312" w:hAnsi="仿宋_GB2312" w:eastAsia="仿宋_GB2312" w:cs="仿宋_GB2312"/>
          <w:sz w:val="32"/>
          <w:szCs w:val="32"/>
        </w:rPr>
        <w:t>），由自然资源部主办，可下载中国地图和世界地图等。</w:t>
      </w:r>
    </w:p>
    <w:p>
      <w:pPr>
        <w:pStyle w:val="3"/>
        <w:widowControl/>
        <w:wordWrap w:val="0"/>
        <w:spacing w:before="0" w:beforeAutospacing="0" w:after="0" w:afterAutospacing="0"/>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（二）广东省标准地图服务子系统（访问地址为：https://guangdong.tianditu.gov.cn/ggdt/#/public/standar-map/index），由广东省自然资源厅主办，可下载广东省和地级市地图等。</w:t>
      </w:r>
    </w:p>
    <w:p>
      <w:pPr>
        <w:pStyle w:val="3"/>
        <w:widowControl/>
        <w:wordWrap w:val="0"/>
        <w:spacing w:before="0" w:beforeAutospacing="0" w:after="0" w:afterAutospacing="0"/>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（三）广州市标准地图服务平台（访问地址为：</w:t>
      </w:r>
      <w:r>
        <w:rPr>
          <w:rFonts w:hint="eastAsia" w:ascii="仿宋_GB2312" w:hAnsi="仿宋_GB2312" w:eastAsia="仿宋_GB2312" w:cs="仿宋_GB2312"/>
          <w:bCs/>
          <w:sz w:val="32"/>
          <w:szCs w:val="32"/>
        </w:rPr>
        <w:t>https://guangdong.tianditu.gov.cn/guangzhou/StandardMap/index.html</w:t>
      </w:r>
      <w:r>
        <w:rPr>
          <w:rFonts w:hint="eastAsia" w:ascii="仿宋_GB2312" w:hAnsi="仿宋_GB2312" w:eastAsia="仿宋_GB2312" w:cs="仿宋_GB2312"/>
          <w:kern w:val="2"/>
          <w:sz w:val="32"/>
          <w:szCs w:val="32"/>
        </w:rPr>
        <w:t>），由广州市规划和自然资源局主办，可下载广州市、市辖区、街镇地图等。</w:t>
      </w:r>
    </w:p>
    <w:p>
      <w:pPr>
        <w:pStyle w:val="3"/>
        <w:widowControl/>
        <w:spacing w:before="0" w:beforeAutospacing="0" w:after="0" w:afterAutospacing="0"/>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其他地区的标准地图可访问对应自然资源行政主管部门网站查询下载。</w:t>
      </w:r>
    </w:p>
    <w:p>
      <w:pPr>
        <w:pStyle w:val="3"/>
        <w:widowControl/>
        <w:spacing w:before="0" w:beforeAutospacing="0" w:after="0" w:afterAutospacing="0"/>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三、参赛地图一票否决问题</w:t>
      </w:r>
    </w:p>
    <w:p>
      <w:pPr>
        <w:pStyle w:val="3"/>
        <w:widowControl/>
        <w:spacing w:before="0" w:beforeAutospacing="0" w:after="0" w:afterAutospacing="0"/>
        <w:ind w:firstLine="640"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kern w:val="2"/>
          <w:sz w:val="32"/>
          <w:szCs w:val="32"/>
        </w:rPr>
        <w:t>“问题地图”主要指存在危害国家主权统一、领土完整、安全和利益等严重问题的地图。属于此类“问题地图”的参赛作品均将一票否决，请重点关注以下国家版图、广东省地图的常见错误。</w:t>
      </w:r>
    </w:p>
    <w:p>
      <w:pPr>
        <w:pStyle w:val="3"/>
        <w:widowControl/>
        <w:spacing w:before="0" w:beforeAutospacing="0" w:after="0" w:afterAutospacing="0"/>
        <w:ind w:firstLine="643" w:firstLineChars="200"/>
        <w:rPr>
          <w:rFonts w:hint="eastAsia"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（一）国家版图关注重点</w:t>
      </w:r>
    </w:p>
    <w:p>
      <w:pPr>
        <w:pStyle w:val="3"/>
        <w:widowControl/>
        <w:spacing w:before="0" w:beforeAutospacing="0" w:after="0" w:afterAutospacing="0"/>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国家版图常见错误有：</w:t>
      </w:r>
    </w:p>
    <w:p>
      <w:pPr>
        <w:pStyle w:val="3"/>
        <w:widowControl/>
        <w:spacing w:before="0" w:beforeAutospacing="0" w:after="0" w:afterAutospacing="0"/>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1.我国阿克赛钦地区的国界绘制错误；</w:t>
      </w:r>
    </w:p>
    <w:p>
      <w:pPr>
        <w:pStyle w:val="3"/>
        <w:widowControl/>
        <w:spacing w:before="0" w:beforeAutospacing="0" w:after="0" w:afterAutospacing="0"/>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2.我国藏南地区的国界绘制错误；</w:t>
      </w:r>
    </w:p>
    <w:p>
      <w:pPr>
        <w:pStyle w:val="3"/>
        <w:widowControl/>
        <w:spacing w:before="0" w:beforeAutospacing="0" w:after="0" w:afterAutospacing="0"/>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3.漏绘我国钓鱼岛、赤尾屿；</w:t>
      </w:r>
    </w:p>
    <w:p>
      <w:pPr>
        <w:pStyle w:val="3"/>
        <w:widowControl/>
        <w:spacing w:before="0" w:beforeAutospacing="0" w:after="0" w:afterAutospacing="0"/>
        <w:ind w:firstLine="64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4.漏绘我国南海诸岛；</w:t>
      </w:r>
    </w:p>
    <w:p>
      <w:pPr>
        <w:pStyle w:val="3"/>
        <w:widowControl/>
        <w:spacing w:before="0" w:beforeAutospacing="0" w:after="0" w:afterAutospacing="0"/>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5.错误表示台湾省；</w:t>
      </w:r>
    </w:p>
    <w:p>
      <w:pPr>
        <w:pStyle w:val="3"/>
        <w:widowControl/>
        <w:spacing w:before="0" w:beforeAutospacing="0" w:after="0" w:afterAutospacing="0"/>
        <w:ind w:firstLine="64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6.中国地图漏绘、错绘南海断续线及东海有关线段。</w:t>
      </w:r>
    </w:p>
    <w:p>
      <w:pPr>
        <w:widowControl/>
        <w:ind w:left="-1039" w:leftChars="-495"/>
        <w:rPr>
          <w:rFonts w:hint="eastAsia"/>
        </w:rPr>
      </w:pPr>
      <w:r>
        <w:rPr>
          <w:rFonts w:hint="eastAsia"/>
        </w:rPr>
        <w:drawing>
          <wp:inline distT="0" distB="0" distL="114300" distR="114300">
            <wp:extent cx="6130290" cy="3609340"/>
            <wp:effectExtent l="0" t="0" r="3810" b="10160"/>
            <wp:docPr id="2" name="图片 1" descr="中国全图的正误对比示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中国全图的正误对比示例"/>
                    <pic:cNvPicPr>
                      <a:picLocks noChangeAspect="1"/>
                    </pic:cNvPicPr>
                  </pic:nvPicPr>
                  <pic:blipFill>
                    <a:blip r:embed="rId5"/>
                    <a:stretch>
                      <a:fillRect/>
                    </a:stretch>
                  </pic:blipFill>
                  <pic:spPr>
                    <a:xfrm>
                      <a:off x="0" y="0"/>
                      <a:ext cx="6130290" cy="3609340"/>
                    </a:xfrm>
                    <a:prstGeom prst="rect">
                      <a:avLst/>
                    </a:prstGeom>
                    <a:noFill/>
                    <a:ln>
                      <a:noFill/>
                    </a:ln>
                  </pic:spPr>
                </pic:pic>
              </a:graphicData>
            </a:graphic>
          </wp:inline>
        </w:drawing>
      </w:r>
    </w:p>
    <w:p>
      <w:pPr>
        <w:pStyle w:val="3"/>
        <w:widowControl/>
        <w:spacing w:before="0" w:beforeAutospacing="0" w:after="0" w:afterAutospacing="0"/>
        <w:ind w:firstLine="643"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b/>
          <w:bCs/>
          <w:kern w:val="2"/>
          <w:sz w:val="32"/>
          <w:szCs w:val="32"/>
        </w:rPr>
        <w:t>（二）广东省地图关注重点</w:t>
      </w:r>
    </w:p>
    <w:p>
      <w:pPr>
        <w:widowControl/>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广东省地图常见错误有：漏绘东沙群岛。</w:t>
      </w:r>
    </w:p>
    <w:p>
      <w:pPr>
        <w:widowControl/>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沙群岛是我国南海诸岛中位置最北的一组群岛，主要由东沙岛、东沙礁（环礁）、南卫滩（暗礁）和北卫滩（暗礁）组成，由汕尾市管辖。当地图按地级市设色时，东沙岛应与汕尾市同色。即使是简单的示意图，也要表示东沙群岛。</w:t>
      </w:r>
    </w:p>
    <w:p>
      <w:pPr>
        <w:widowControl/>
        <w:jc w:val="left"/>
      </w:pPr>
      <w:r>
        <w:drawing>
          <wp:inline distT="0" distB="0" distL="114300" distR="114300">
            <wp:extent cx="6158230" cy="3027045"/>
            <wp:effectExtent l="0" t="0" r="13970" b="1905"/>
            <wp:docPr id="3" name="图片 2" descr="广东省地图的正误对比示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广东省地图的正误对比示例"/>
                    <pic:cNvPicPr>
                      <a:picLocks noChangeAspect="1"/>
                    </pic:cNvPicPr>
                  </pic:nvPicPr>
                  <pic:blipFill>
                    <a:blip r:embed="rId6"/>
                    <a:stretch>
                      <a:fillRect/>
                    </a:stretch>
                  </pic:blipFill>
                  <pic:spPr>
                    <a:xfrm>
                      <a:off x="0" y="0"/>
                      <a:ext cx="6158230" cy="3027045"/>
                    </a:xfrm>
                    <a:prstGeom prst="rect">
                      <a:avLst/>
                    </a:prstGeom>
                    <a:noFill/>
                    <a:ln>
                      <a:noFill/>
                    </a:ln>
                  </pic:spPr>
                </pic:pic>
              </a:graphicData>
            </a:graphic>
          </wp:inline>
        </w:drawing>
      </w:r>
    </w:p>
    <w:p>
      <w:pPr>
        <w:pStyle w:val="3"/>
        <w:widowControl/>
        <w:spacing w:before="0" w:beforeAutospacing="0" w:after="0" w:afterAutospacing="0"/>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四、其他事项</w:t>
      </w:r>
    </w:p>
    <w:p>
      <w:pPr>
        <w:pStyle w:val="3"/>
        <w:widowControl/>
        <w:wordWrap w:val="0"/>
        <w:spacing w:before="0" w:beforeAutospacing="0" w:after="0" w:afterAutospacing="0"/>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（一）快速识别“问题地图”，可观看中国自然资源报专题片“4句RAP教你快速识别问题地图”（http://vod.mnr.gov.cn/ztp/202008/t20200829_2545055.htm）；</w:t>
      </w:r>
    </w:p>
    <w:p>
      <w:pPr>
        <w:pStyle w:val="3"/>
        <w:widowControl/>
        <w:wordWrap w:val="0"/>
        <w:spacing w:before="0" w:beforeAutospacing="0" w:after="0" w:afterAutospacing="0"/>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（二）进一步提升国家版图意识，了解如何规范使用地图，可访问“粤图识”微信小程序学习相关知识；</w:t>
      </w:r>
    </w:p>
    <w:p>
      <w:pPr>
        <w:pStyle w:val="3"/>
        <w:widowControl/>
        <w:wordWrap w:val="0"/>
        <w:spacing w:before="0" w:beforeAutospacing="0" w:after="0" w:afterAutospacing="0"/>
        <w:jc w:val="center"/>
        <w:rPr>
          <w:rFonts w:hint="eastAsia" w:ascii="仿宋_GB2312" w:hAnsi="仿宋_GB2312" w:eastAsia="仿宋_GB2312" w:cs="仿宋_GB2312"/>
          <w:kern w:val="2"/>
          <w:sz w:val="32"/>
          <w:szCs w:val="32"/>
        </w:rPr>
      </w:pPr>
      <w:r>
        <w:drawing>
          <wp:inline distT="0" distB="0" distL="114300" distR="114300">
            <wp:extent cx="2292350" cy="2292350"/>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7"/>
                    <a:stretch>
                      <a:fillRect/>
                    </a:stretch>
                  </pic:blipFill>
                  <pic:spPr>
                    <a:xfrm>
                      <a:off x="0" y="0"/>
                      <a:ext cx="2292350" cy="2292350"/>
                    </a:xfrm>
                    <a:prstGeom prst="rect">
                      <a:avLst/>
                    </a:prstGeom>
                    <a:noFill/>
                    <a:ln>
                      <a:noFill/>
                    </a:ln>
                  </pic:spPr>
                </pic:pic>
              </a:graphicData>
            </a:graphic>
          </wp:inline>
        </w:drawing>
      </w:r>
    </w:p>
    <w:p>
      <w:pPr>
        <w:pStyle w:val="3"/>
        <w:widowControl/>
        <w:spacing w:before="0" w:beforeAutospacing="0" w:after="0" w:afterAutospacing="0"/>
        <w:ind w:firstLine="640" w:firstLineChars="200"/>
        <w:jc w:val="both"/>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（三）更多地图内容表达的具体规定可详阅《自然资源部关于印发&lt;公开地图内容表示规范&gt;的通知》（自然资规〔2023〕2号）。</w:t>
      </w:r>
    </w:p>
    <w:p>
      <w:bookmarkStart w:id="0" w:name="_GoBack"/>
      <w:bookmarkEnd w:id="0"/>
    </w:p>
    <w:sectPr>
      <w:footerReference r:id="rId3" w:type="default"/>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FE5FEE"/>
    <w:multiLevelType w:val="singleLevel"/>
    <w:tmpl w:val="7FFE5FE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E24C0"/>
    <w:rsid w:val="77FE2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2026-09-04T07:26:00Z</dcterms:created>
  <dc:creator>NTKO</dc:creator>
  <cp:lastModifiedBy>NTKO</cp:lastModifiedBy>
  <dcterms:modified xsi:type="dcterms:W3CDTF">2026-09-04T07:27:05Z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